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F3964"/>
          <w:sz w:val="32"/>
        </w:rPr>
        <w:t>АНАЛИЗ ВКР: РЕКОМЕНДАЦИИ ПО ДОБАВЛЕНИЮ ВИЗУАЛЬНЫХ МАТЕРИАЛОВ</w:t>
      </w:r>
    </w:p>
    <w:p>
      <w:pPr>
        <w:spacing w:after="40"/>
        <w:jc w:val="center"/>
      </w:pPr>
      <w:r>
        <w:rPr>
          <w:b/>
          <w:i w:val="0"/>
          <w:sz w:val="24"/>
        </w:rPr>
        <w:t>Тема ВКР: «Telegram-бот администратора мебельного магазина»</w:t>
      </w:r>
    </w:p>
    <w:p>
      <w:pPr>
        <w:spacing w:after="240"/>
        <w:jc w:val="center"/>
      </w:pPr>
      <w:r>
        <w:rPr>
          <w:b w:val="0"/>
          <w:i/>
          <w:color w:val="555555"/>
          <w:sz w:val="24"/>
        </w:rPr>
        <w:t>Рецензия научного руководителя и технического редактора</w:t>
      </w:r>
    </w:p>
    <w:p>
      <w:pPr>
        <w:spacing w:before="240" w:after="120"/>
      </w:pPr>
      <w:r>
        <w:rPr>
          <w:b/>
          <w:color w:val="1F3964"/>
          <w:sz w:val="28"/>
        </w:rPr>
        <w:t>Общий вывод по визуализации</w:t>
      </w:r>
    </w:p>
    <w:p>
      <w:pPr>
        <w:spacing w:after="120"/>
      </w:pPr>
      <w:r>
        <w:rPr>
          <w:b w:val="0"/>
          <w:i w:val="0"/>
          <w:sz w:val="24"/>
        </w:rPr>
        <w:t>В работе сейчас 5 таблиц и ноль рисунков. Для ВКР по направлению «Программная инженерия» это критический недостаток: текст детально описывает архитектуру, алгоритмы, базу данных и интерфейс, но читатель и комиссия вынуждены всё представлять «на словах». Особенно страдают главы 2 и 3 — именно там, где по ГОСТу ожидаются схемы и скриншоты. Ниже приведены конкретные точки вставки, привязанные к абзацам, со сквозной нумерацией рисунков по ГОСТ 7.32-2017 (подпись «Рисунок N — Наименование» располагается по центру под рисунком).</w:t>
      </w:r>
    </w:p>
    <w:p>
      <w:pPr>
        <w:spacing w:before="240" w:after="120"/>
      </w:pPr>
      <w:r>
        <w:rPr>
          <w:b/>
          <w:color w:val="1F3964"/>
          <w:sz w:val="28"/>
        </w:rPr>
        <w:t>ВВЕДЕНИЕ</w:t>
      </w:r>
    </w:p>
    <w:p>
      <w:pPr>
        <w:spacing w:after="120"/>
      </w:pPr>
      <w:r>
        <w:rPr>
          <w:b w:val="0"/>
          <w:i w:val="0"/>
          <w:sz w:val="24"/>
        </w:rPr>
        <w:t>Раздел текстовый, по своей природе визуализации не требует. Введение оставляем как есть — перегружать его схемами не нужно.</w:t>
      </w:r>
    </w:p>
    <w:p>
      <w:pPr>
        <w:spacing w:before="240" w:after="120"/>
      </w:pPr>
      <w:r>
        <w:rPr>
          <w:b/>
          <w:color w:val="1F3964"/>
          <w:sz w:val="28"/>
        </w:rPr>
        <w:t>ГЛАВА 1. АНАЛИЗ ПРОБЛЕМЫ И ПОСТАНОВКА ЗАДАЧ</w:t>
      </w:r>
    </w:p>
    <w:p>
      <w:pPr>
        <w:spacing w:before="160" w:after="80"/>
      </w:pPr>
      <w:r>
        <w:rPr>
          <w:b/>
          <w:color w:val="1F3964"/>
          <w:sz w:val="25"/>
        </w:rPr>
        <w:t>1. После абзаца (с. 6) о заказе как центральном объекте:</w:t>
      </w:r>
    </w:p>
    <w:p>
      <w:pPr>
        <w:spacing w:before="80" w:after="40"/>
        <w:ind w:left="454"/>
      </w:pPr>
      <w:r>
        <w:rPr>
          <w:i/>
          <w:color w:val="555555"/>
        </w:rPr>
        <w:t>«Если рассматривать магазин как информационную систему, то заказ выступает центральным объектом. Вокруг него собираются данные о клиенте, товарах, адресе, сумме, комментариях и текущем состоянии…»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схема (концептуальная, «звезда» вокруг сущности «Заказ»)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центральный объект «Заказ» и связанные с ним сущности — Клиент, Товары, Адрес, Сумма, Комментарий, Статус; показать, что вся предметная область строится вокруг заказа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1 — Заказ как центральный объект информационной системы магазина»</w:t>
      </w:r>
    </w:p>
    <w:p>
      <w:pPr>
        <w:spacing w:before="160" w:after="80"/>
      </w:pPr>
      <w:r>
        <w:rPr>
          <w:b/>
          <w:color w:val="1F3964"/>
          <w:sz w:val="25"/>
        </w:rPr>
        <w:t>2. После абзаца (с. 7, п. 1.1) о пяти статусах заказа:</w:t>
      </w:r>
    </w:p>
    <w:p>
      <w:pPr>
        <w:spacing w:before="80" w:after="40"/>
        <w:ind w:left="454"/>
      </w:pPr>
      <w:r>
        <w:rPr>
          <w:i/>
          <w:color w:val="555555"/>
        </w:rPr>
        <w:t>«Вторая проблема связана с отсутствием единого состояния заказа. Для мебели особенно важны статусы: «новый», «подтвержден», «в доставке», «завершен», «отменен»…»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диаграмма состояний (UML State Machine)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жизненный цикл заказа — переходы между статусами «новый» → «подтверждён» → «в доставке» → «завершён», а также ветвь «отменён»; стрелки переходов с условиями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2 — Диаграмма состояний жизненного цикла заказа»</w:t>
      </w:r>
    </w:p>
    <w:p>
      <w:pPr>
        <w:spacing w:before="160" w:after="80"/>
      </w:pPr>
      <w:r>
        <w:rPr>
          <w:b/>
          <w:color w:val="1F3964"/>
          <w:sz w:val="25"/>
        </w:rPr>
        <w:t>3. После абзаца (с. 8) о разрозненности каналов:</w:t>
      </w:r>
    </w:p>
    <w:p>
      <w:pPr>
        <w:spacing w:before="80" w:after="40"/>
        <w:ind w:left="454"/>
      </w:pPr>
      <w:r>
        <w:rPr>
          <w:i/>
          <w:color w:val="555555"/>
        </w:rPr>
        <w:t>«Рассмотрим подробнее проблему разрозненности каналов. Сайт хранит сведения о заказах, менеджер ведет переписку в мессенджере, данные об остатках могут находиться в таблице…»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схема «До/После» (сравнительная)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слева — хаотичная схема «как было» (администратор между сайтом, таблицей, телефоном, перепиской); справа — «как стало» (единое окно Telegram-бота). Наглядно показывает ценность решения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3 — Информационные потоки до и после внедрения Telegram-бота»</w:t>
      </w:r>
    </w:p>
    <w:p>
      <w:pPr>
        <w:spacing w:before="160" w:after="80"/>
      </w:pPr>
      <w:r>
        <w:rPr>
          <w:b/>
          <w:color w:val="1F3964"/>
          <w:sz w:val="25"/>
        </w:rPr>
        <w:t>Раздел 1.2 (анализ аналогов)</w:t>
      </w:r>
    </w:p>
    <w:p>
      <w:pPr>
        <w:spacing w:after="120"/>
      </w:pPr>
      <w:r>
        <w:rPr>
          <w:b w:val="0"/>
          <w:i w:val="0"/>
          <w:sz w:val="24"/>
        </w:rPr>
        <w:t>Уже хорошо визуализирован: есть Таблица 1 со сравнением решений. Дополнительный рисунок не обязателен, но при желании можно усилить диаграммой позиционирования, иллюстрирующей тезис «решение занимает промежуточную нишу».</w:t>
      </w:r>
    </w:p>
    <w:p>
      <w:pPr>
        <w:spacing w:before="80" w:after="40"/>
        <w:ind w:left="454"/>
      </w:pPr>
      <w:r>
        <w:rPr>
          <w:i/>
          <w:color w:val="555555"/>
        </w:rPr>
        <w:t>«Сравнение показывает, что разрабатываемое решение занимает промежуточную нишу…»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диаграмма позиционирования (точечная, quadrant chart) — опционально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оси «Полнота функций» и «Сложность/стоимость внедрения», размещение аналогов (Bitrix24, Tilda, WooCommerce, клиентские боты) и разрабатываемого бота в промежуточной нише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4 — Позиционирование решения относительно аналогов»</w:t>
      </w:r>
    </w:p>
    <w:p>
      <w:pPr>
        <w:spacing w:before="240" w:after="120"/>
      </w:pPr>
      <w:r>
        <w:rPr>
          <w:b/>
          <w:color w:val="1F3964"/>
          <w:sz w:val="28"/>
        </w:rPr>
        <w:t>ГЛАВА 2. ПРОЕКТИРОВАНИЕ TELEGRAM-БОТА (самый недовизуализированный раздел)</w:t>
      </w:r>
    </w:p>
    <w:p>
      <w:pPr>
        <w:spacing w:before="160" w:after="80"/>
      </w:pPr>
      <w:r>
        <w:rPr>
          <w:b/>
          <w:color w:val="1F3964"/>
          <w:sz w:val="25"/>
        </w:rPr>
        <w:t>4. После абзаца (с. 14, п. 2.1) об архитектуре по слоям:</w:t>
      </w:r>
    </w:p>
    <w:p>
      <w:pPr>
        <w:spacing w:before="80" w:after="40"/>
        <w:ind w:left="454"/>
      </w:pPr>
      <w:r>
        <w:rPr>
          <w:i/>
          <w:color w:val="555555"/>
        </w:rPr>
        <w:t>«Основная идея проектирования состоит в разделении ответственности между несколькими логическими слоями: конфигурация, база данных, интеграция с внешним источником, фоновая синхронизация, пользовательские интерфейсы Telegram и обработчики команд…»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архитектурная схема (компонентная диаграмма / диаграмма развёртывания) — ключевой рисунок всей работы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слои системы и связи между ними — Telegram Bot API ↔ Обработчики/Клавиатуры ↔ Settings, Database (SQLite), OrderSyncService (фоновый поток) ↔ BaseShopAPI с тремя реализациями (ShopAPIClient/REST, HTMLShopParser, MockShopAPI) ↔ внешний сайт магазина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5 — Архитектура Telegram-бота администратора магазина»</w:t>
      </w:r>
    </w:p>
    <w:p>
      <w:pPr>
        <w:spacing w:before="160" w:after="80"/>
      </w:pPr>
      <w:r>
        <w:rPr>
          <w:b/>
          <w:color w:val="1F3964"/>
          <w:sz w:val="25"/>
        </w:rPr>
        <w:t>5. После абзаца (с. 15) об интерфейсе источников:</w:t>
      </w:r>
    </w:p>
    <w:p>
      <w:pPr>
        <w:spacing w:before="80" w:after="40"/>
        <w:ind w:left="454"/>
      </w:pPr>
      <w:r>
        <w:rPr>
          <w:i/>
          <w:color w:val="555555"/>
        </w:rPr>
        <w:t>«Связь с сайтом магазина организована через абстрактный интерфейс BaseShopAPI. От него наследуются три варианта источника: REST API, HTML-парсер и демонстрационный MockShopAPI…»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UML-диаграмма классов (фрагмент — паттерн «Стратегия»)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абстрактный класс BaseShopAPI и наследники ShopAPIClient, HTMLShopParser, MockShopAPI со связями обобщения (наследования); показать общий метод получения заказов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6 — Диаграмма классов источников данных (интерфейс BaseShopAPI)»</w:t>
      </w:r>
    </w:p>
    <w:p>
      <w:pPr>
        <w:spacing w:before="160" w:after="80"/>
      </w:pPr>
      <w:r>
        <w:rPr>
          <w:b/>
          <w:color w:val="1F3964"/>
          <w:sz w:val="25"/>
        </w:rPr>
        <w:t>6. После абзаца (с. 18, п. 2.2) о синхронизации заказов:</w:t>
      </w:r>
    </w:p>
    <w:p>
      <w:pPr>
        <w:spacing w:before="80" w:after="40"/>
        <w:ind w:left="454"/>
      </w:pPr>
      <w:r>
        <w:rPr>
          <w:i/>
          <w:color w:val="555555"/>
        </w:rPr>
        <w:t>«Ключевой алгоритм системы — синхронизация заказов. Фоновый сервис OrderSyncService запускается в отдельном потоке и через заданный интервал обращается к источнику данных… методом upsert_order. Если заказ новый, бот отправляет администраторам уведомление…»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блок-схема алгоритма (по ГОСТ 19.701)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цикл синхронизации: запуск потока → ожидание интервала → запрос к источнику → для каждого заказа: проверка существования → ветвление (новый: upsert + уведомление администраторам / существующий: обновление без дубликата) → возврат к ожиданию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7 — Блок-схема алгоритма фоновой синхронизации заказов»</w:t>
      </w:r>
    </w:p>
    <w:p>
      <w:pPr>
        <w:spacing w:before="160" w:after="80"/>
      </w:pPr>
      <w:r>
        <w:rPr>
          <w:b/>
          <w:color w:val="1F3964"/>
          <w:sz w:val="25"/>
        </w:rPr>
        <w:t>7. После абзаца (с. 18) о смене статуса:</w:t>
      </w:r>
    </w:p>
    <w:p>
      <w:pPr>
        <w:spacing w:before="80" w:after="40"/>
        <w:ind w:left="454"/>
      </w:pPr>
      <w:r>
        <w:rPr>
          <w:i/>
          <w:color w:val="555555"/>
        </w:rPr>
        <w:t>«Алгоритм обработки заказа строится вокруг фиксированных статусов. Администратор открывает карточку заказа, выбирает действие «сменить статус»… При выборе нового статуса база обновляется, действие записывается в журнал, а клиент получает уведомление, если его Telegram ID известен и он не заблокирован.»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блок-схема алгоритма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открытие карточки → выбор «сменить статус» → выбор статуса из inline-клавиатуры → обновление БД → запись в admin_actions → проверка (есть Telegram ID? не в чёрном списке?) → уведомление клиента / пропуск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8 — Блок-схема алгоритма смены статуса заказа с уведомлением клиента»</w:t>
      </w:r>
    </w:p>
    <w:p>
      <w:pPr>
        <w:spacing w:before="160" w:after="80"/>
      </w:pPr>
      <w:r>
        <w:rPr>
          <w:b/>
          <w:color w:val="1F3964"/>
          <w:sz w:val="25"/>
        </w:rPr>
        <w:t>8. После абзаца (с. 18) о добавлении товара (конечный автомат):</w:t>
      </w:r>
    </w:p>
    <w:p>
      <w:pPr>
        <w:spacing w:before="80" w:after="40"/>
        <w:ind w:left="454"/>
      </w:pPr>
      <w:r>
        <w:rPr>
          <w:i/>
          <w:color w:val="555555"/>
        </w:rPr>
        <w:t>«Добавление товара реализовано как последовательный сценарий… хранится временное состояние AddState: артикул, название, категория, цена, остаток и описание… Это простая форма конечного автомата, реализованная словарем состояний.»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диаграмма состояний (FSM) или блок-схема пошагового ввода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последовательность шагов SKU → Название → Категория → Цена → Остаток → Описание → Сохранение, с переходами по валидному вводу и общим выходом по /cancel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9 — Конечный автомат пошагового добавления товара»</w:t>
      </w:r>
    </w:p>
    <w:p>
      <w:pPr>
        <w:spacing w:before="160" w:after="80"/>
      </w:pPr>
      <w:r>
        <w:rPr>
          <w:b/>
          <w:color w:val="1F3964"/>
          <w:sz w:val="25"/>
        </w:rPr>
        <w:t>9. После абзаца (с. 18) о скидках и apply_discount:</w:t>
      </w:r>
    </w:p>
    <w:p>
      <w:pPr>
        <w:spacing w:before="80" w:after="40"/>
        <w:ind w:left="454"/>
      </w:pPr>
      <w:r>
        <w:rPr>
          <w:i/>
          <w:color w:val="555555"/>
        </w:rPr>
        <w:t>«Скидки рассчитываются функцией apply_discount. Если скидка процентная, цена уменьшается на заданную долю. Если скидка фиксированная, из цены вычитается сумма… система выбирает ту, которая дает минимальную конечную цену.»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блок-схема алгоритма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на вход — цена и набор активных скидок; ветвление percent/fixed; расчёт по каждой скидке; выбор минимальной итоговой цены; проверка «итог ≥ 0»; возврат результата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10 — Блок-схема алгоритма расчёта итоговой цены с учётом скидок»</w:t>
      </w:r>
    </w:p>
    <w:p>
      <w:pPr>
        <w:spacing w:after="120"/>
      </w:pPr>
      <w:r>
        <w:rPr>
          <w:b w:val="0"/>
          <w:i/>
          <w:color w:val="555555"/>
          <w:sz w:val="24"/>
        </w:rPr>
        <w:t>Примечание: алгоритмы экспорта DOCX, проверки доступа (admin_only) и формирования дашборда тоже описаны в п. 2.2, но визуализировать стоит не все, чтобы не превратить главу в альбом блок-схем. Проверку доступа и экспорт лучше показать в главе 3 — там они привязаны к реализации и результату.</w:t>
      </w:r>
    </w:p>
    <w:p>
      <w:pPr>
        <w:spacing w:before="160" w:after="80"/>
      </w:pPr>
      <w:r>
        <w:rPr>
          <w:b/>
          <w:color w:val="1F3964"/>
          <w:sz w:val="25"/>
        </w:rPr>
        <w:t>10. После абзаца (с. 19, п. 2.3) о компоненте базы данных:</w:t>
      </w:r>
    </w:p>
    <w:p>
      <w:pPr>
        <w:spacing w:after="120"/>
      </w:pPr>
      <w:r>
        <w:rPr>
          <w:b w:val="0"/>
          <w:i w:val="0"/>
          <w:sz w:val="24"/>
        </w:rPr>
        <w:t>ER-диаграмму достаточно разместить один раз. Оптимально — там, где впервые подробно перечисляются таблицы. Если хотите в проектной части, то здесь:</w:t>
      </w:r>
    </w:p>
    <w:p>
      <w:pPr>
        <w:spacing w:before="80" w:after="40"/>
        <w:ind w:left="454"/>
      </w:pPr>
      <w:r>
        <w:rPr>
          <w:i/>
          <w:color w:val="555555"/>
        </w:rPr>
        <w:t>«Компонент базы данных инкапсулирован в классе Database… В системе создаются таблицы orders, clients, blocked_users, admin_actions, products и discounts.»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ER-диаграмма (схема «сущность-связь»)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таблицы orders, clients, blocked_users, admin_actions, products, discounts с ключевыми полями, первичными/внешними ключами и связями (discounts → products, orders → clients и т. д.)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11 — ER-диаграмма базы данных SQLite»</w:t>
      </w:r>
    </w:p>
    <w:p>
      <w:pPr>
        <w:spacing w:before="160" w:after="80"/>
      </w:pPr>
      <w:r>
        <w:rPr>
          <w:b/>
          <w:color w:val="1F3964"/>
          <w:sz w:val="25"/>
        </w:rPr>
        <w:t>11. После абзаца (с. 20) о главном меню и inline-клавиатурах:</w:t>
      </w:r>
    </w:p>
    <w:p>
      <w:pPr>
        <w:spacing w:before="80" w:after="40"/>
        <w:ind w:left="454"/>
      </w:pPr>
      <w:r>
        <w:rPr>
          <w:i/>
          <w:color w:val="555555"/>
        </w:rPr>
        <w:t>«Компонент интерфейса Telegram включает клавиатуры. Главное меню содержит разделы заказов, товаров, скидок, статистики, дашборда, черного списка, рассылки, синхронизации, экспорта и помощи…»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схема навигации (карта меню / диаграмма иерархии)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дерево меню — корень «Главное меню» и ветви разделов (Заказы → фильтры/карточка/смена статуса; Товары → каталог/карточка/добавление; Скидки; Статистика; Дашборд; Чёрный список; Рассылка; Синхронизация; Экспорт; Помощь)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12 — Схема навигации по меню Telegram-бота»</w:t>
      </w:r>
    </w:p>
    <w:p>
      <w:pPr>
        <w:spacing w:before="240" w:after="120"/>
      </w:pPr>
      <w:r>
        <w:rPr>
          <w:b/>
          <w:color w:val="1F3964"/>
          <w:sz w:val="28"/>
        </w:rPr>
        <w:t>ГЛАВА 3. РЕАЛИЗАЦИЯ И ТЕСТИРОВАНИЕ (критически не хватает скриншотов)</w:t>
      </w:r>
    </w:p>
    <w:p>
      <w:pPr>
        <w:spacing w:after="120"/>
      </w:pPr>
      <w:r>
        <w:rPr>
          <w:b w:val="0"/>
          <w:i w:val="0"/>
          <w:sz w:val="24"/>
        </w:rPr>
        <w:t>Эта глава описывает реальный работающий продукт, но не содержит ни одного скриншота. Для ВКР это самый заметный пробел: комиссия должна видеть, что бот действительно работает.</w:t>
      </w:r>
    </w:p>
    <w:p>
      <w:pPr>
        <w:spacing w:before="160" w:after="80"/>
      </w:pPr>
      <w:r>
        <w:rPr>
          <w:b/>
          <w:color w:val="1F3964"/>
          <w:sz w:val="25"/>
        </w:rPr>
        <w:t>12. После абзаца (с. 23, п. 3.1) о запуске в main:</w:t>
      </w:r>
    </w:p>
    <w:p>
      <w:pPr>
        <w:spacing w:before="80" w:after="40"/>
        <w:ind w:left="454"/>
      </w:pPr>
      <w:r>
        <w:rPr>
          <w:i/>
          <w:color w:val="555555"/>
        </w:rPr>
        <w:t>«Запуск приложения происходит в функции main. Сначала настраивается логирование, проверяется наличие токена, инициализируется база данных… Затем бот переходит в режим long polling.»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блок-схема алгоритма или скриншот лога запуска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последовательность инициализации main: логирование → проверка токена → init_schema → (опц. прокси) → создание TeleBot → выбор источника → запуск OrderSyncService → register_handlers → long polling. Дополнительно — скриншот консоли с логами успешного старта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13 — Блок-схема процедуры запуска приложения (функция main)»</w:t>
      </w:r>
    </w:p>
    <w:p>
      <w:pPr>
        <w:spacing w:before="160" w:after="80"/>
      </w:pPr>
      <w:r>
        <w:rPr>
          <w:b/>
          <w:color w:val="1F3964"/>
          <w:sz w:val="25"/>
        </w:rPr>
        <w:t>13. После абзаца (с. 24) о таблицах БД:</w:t>
      </w:r>
    </w:p>
    <w:p>
      <w:pPr>
        <w:spacing w:after="120"/>
      </w:pPr>
      <w:r>
        <w:rPr>
          <w:b w:val="0"/>
          <w:i/>
          <w:color w:val="555555"/>
          <w:sz w:val="24"/>
        </w:rPr>
        <w:t>Если ER-диаграмма (Рисунок 11) не размещена в главе 2, её ставят здесь — после описания таблиц orders, products, discounts, admin_actions. На работу нужен один экземпляр ER-диаграммы.</w:t>
      </w:r>
    </w:p>
    <w:p>
      <w:pPr>
        <w:spacing w:before="160" w:after="80"/>
      </w:pPr>
      <w:r>
        <w:rPr>
          <w:b/>
          <w:color w:val="1F3964"/>
          <w:sz w:val="25"/>
        </w:rPr>
        <w:t>14. После абзаца (с. 25) о карточке заказа (format_order_card):</w:t>
      </w:r>
    </w:p>
    <w:p>
      <w:pPr>
        <w:spacing w:before="80" w:after="40"/>
        <w:ind w:left="454"/>
      </w:pPr>
      <w:r>
        <w:rPr>
          <w:i/>
          <w:color w:val="555555"/>
        </w:rPr>
        <w:t>«Формат карточки заказа создается функцией format_order_card. В ней используются HTML-теги Telegram: жирный шрифт, code для внешнего номера и телефона…»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скриншот интерфейса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реальная карточка заказа в Telegram — номер, клиент, телефон, адрес, сумма, статус, состав, а под ней inline-кнопки («сменить статус», «контакты», «написать клиенту»)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14 — Карточка заказа в интерфейсе Telegram-бота»</w:t>
      </w:r>
    </w:p>
    <w:p>
      <w:pPr>
        <w:spacing w:before="160" w:after="80"/>
      </w:pPr>
      <w:r>
        <w:rPr>
          <w:b/>
          <w:color w:val="1F3964"/>
          <w:sz w:val="25"/>
        </w:rPr>
        <w:t>15. После абзаца (с. 25) о карточке товара (format_product_card):</w:t>
      </w:r>
    </w:p>
    <w:p>
      <w:pPr>
        <w:spacing w:before="80" w:after="40"/>
        <w:ind w:left="454"/>
      </w:pPr>
      <w:r>
        <w:rPr>
          <w:i/>
          <w:color w:val="555555"/>
        </w:rPr>
        <w:t>«Карточка товара формируется функцией format_product_card. Если действует скидка, бот показывает старую цену и итоговую цену…»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скриншот интерфейса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карточка товара со старой и итоговой ценой (действующая скидка), остатком или отметкой «нет в наличии» и кнопками редактирования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15 — Карточка товара со скидкой в интерфейсе бота»</w:t>
      </w:r>
    </w:p>
    <w:p>
      <w:pPr>
        <w:spacing w:before="160" w:after="80"/>
      </w:pPr>
      <w:r>
        <w:rPr>
          <w:b/>
          <w:color w:val="1F3964"/>
          <w:sz w:val="25"/>
        </w:rPr>
        <w:t>16. После абзаца (с. 24) о каталоге и постраничном выводе:</w:t>
      </w:r>
    </w:p>
    <w:p>
      <w:pPr>
        <w:spacing w:before="80" w:after="40"/>
        <w:ind w:left="454"/>
      </w:pPr>
      <w:r>
        <w:rPr>
          <w:i/>
          <w:color w:val="555555"/>
        </w:rPr>
        <w:t>«Каталог товаров реализован через команды /products, /product, /add_product, /price, /del_product и соответствующие inline-кнопки…»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скриншот интерфейса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главное меню бота (reply-клавиатура) и/или постраничный список товаров с кнопками навигации «◀ / ▶»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16 — Главное меню и постраничный каталог товаров»</w:t>
      </w:r>
    </w:p>
    <w:p>
      <w:pPr>
        <w:spacing w:before="160" w:after="80"/>
      </w:pPr>
      <w:r>
        <w:rPr>
          <w:b/>
          <w:color w:val="1F3964"/>
          <w:sz w:val="25"/>
        </w:rPr>
        <w:t>17. После абзаца (с. 25) об аналитике (stats_summary, build_orders_chart):</w:t>
      </w:r>
    </w:p>
    <w:p>
      <w:pPr>
        <w:spacing w:before="80" w:after="40"/>
        <w:ind w:left="454"/>
      </w:pPr>
      <w:r>
        <w:rPr>
          <w:i/>
          <w:color w:val="555555"/>
        </w:rPr>
        <w:t>«Для аналитики используется метод stats_summary… График динамики строится функцией build_orders_chart и отправляется в чат как изображение.»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скриншот интерфейса + график (matplotlib), можно как Рисунок 17 а/б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(а) текстовая сводка статистики в чате (всего/новые/завершённые/отменённые, выручка, за сегодня/7/30 дней); (б) столбчатая диаграмма динамики заказов по датам, реально сгенерированная build_orders_chart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17 — Сводная статистика и график динамики заказов (дашборд)»</w:t>
      </w:r>
    </w:p>
    <w:p>
      <w:pPr>
        <w:spacing w:before="160" w:after="80"/>
      </w:pPr>
      <w:r>
        <w:rPr>
          <w:b/>
          <w:color w:val="1F3964"/>
          <w:sz w:val="25"/>
        </w:rPr>
        <w:t>18. После абзаца (с. 25) об экспорте DOCX (export_orders_to_docx):</w:t>
      </w:r>
    </w:p>
    <w:p>
      <w:pPr>
        <w:spacing w:before="80" w:after="40"/>
        <w:ind w:left="454"/>
      </w:pPr>
      <w:r>
        <w:rPr>
          <w:i/>
          <w:color w:val="555555"/>
        </w:rPr>
        <w:t>«Экспорт в DOCX реализован функцией export_orders_to_docx. Документ создается с заголовком, периодом, таблицей заказов и итоговой строкой…»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скриншот результата работы программы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открытый сформированный DOCX-файл — заголовок, период, таблица заказов (номер, дата, клиент, телефон, статус, сумма, состав) и итоговая строка с количеством и суммой; рядом можно показать, как файл приходит документом в чат Telegram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18 — Пример отчёта, экспортированного в формат DOCX»</w:t>
      </w:r>
    </w:p>
    <w:p>
      <w:pPr>
        <w:spacing w:before="160" w:after="80"/>
      </w:pPr>
      <w:r>
        <w:rPr>
          <w:b/>
          <w:color w:val="1F3964"/>
          <w:sz w:val="25"/>
        </w:rPr>
        <w:t>19. После абзаца (с. 26) о полном сценарии смены статуса (workflow):</w:t>
      </w:r>
    </w:p>
    <w:p>
      <w:pPr>
        <w:spacing w:before="80" w:after="40"/>
        <w:ind w:left="454"/>
      </w:pPr>
      <w:r>
        <w:rPr>
          <w:i/>
          <w:color w:val="555555"/>
        </w:rPr>
        <w:t>«При изменении статуса заказа обработчик не просто обновляет поле status. Он проверяет допустимость статуса, записывает действие в журнал, обновляет сообщение с карточкой и при возможности уведомляет клиента. Таким образом, одно нажатие кнопки запускает полный административный сценарий.»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UML-диаграмма последовательности (sequence diagram) либо диаграмма деятельности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взаимодействие участников — Администратор → Бот (обработчик) → Database → Журнал admin_actions → Клиент; показать поток одного административного действия «смена статуса» от нажатия кнопки до уведомления клиента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19 — Диаграмма последовательности административного сценария смены статуса»</w:t>
      </w:r>
    </w:p>
    <w:p>
      <w:pPr>
        <w:spacing w:before="160" w:after="80"/>
      </w:pPr>
      <w:r>
        <w:rPr>
          <w:b/>
          <w:color w:val="1F3964"/>
          <w:sz w:val="25"/>
        </w:rPr>
        <w:t>20. Опционально — общий workflow администратора (введение к главе 3 или п. 3.1):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UML-диаграмма деятельности (activity diagram / swimlane)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дорожки «Администратор» и «Бот»: получение уведомления о заказе → открытие карточки → подтверждение → смена статусов → уведомление клиента → формирование отчёта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20 — Диаграмма деятельности администратора при обработке заказа»</w:t>
      </w:r>
    </w:p>
    <w:p>
      <w:pPr>
        <w:spacing w:before="160" w:after="80"/>
      </w:pPr>
      <w:r>
        <w:rPr>
          <w:b/>
          <w:color w:val="1F3964"/>
          <w:sz w:val="25"/>
        </w:rPr>
        <w:t>21. После абзаца (с. 26, п. 3.2) о проверке доступа (admin_only):</w:t>
      </w:r>
    </w:p>
    <w:p>
      <w:pPr>
        <w:spacing w:before="80" w:after="40"/>
        <w:ind w:left="454"/>
      </w:pPr>
      <w:r>
        <w:rPr>
          <w:i/>
          <w:color w:val="555555"/>
        </w:rPr>
        <w:t>«Второй этап касался доступа. Пользователь, не входящий в ADMIN_IDS, не должен выполнять команды администратора. Декоратор admin_only фиксирует попытку в журнале и отправляет отказ.»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скриншот интерфейса (результат теста)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реакция бота на команду от неавторизованного пользователя — сообщение об отказе в доступе; опционально рядом — запись access_denied в логе или таблице admin_actions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21 — Реакция бота на попытку доступа неавторизованного пользователя»</w:t>
      </w:r>
    </w:p>
    <w:p>
      <w:pPr>
        <w:spacing w:before="160" w:after="80"/>
      </w:pPr>
      <w:r>
        <w:rPr>
          <w:b/>
          <w:color w:val="1F3964"/>
          <w:sz w:val="25"/>
        </w:rPr>
        <w:t>Раздел 3.2 (тестирование)</w:t>
      </w:r>
    </w:p>
    <w:p>
      <w:pPr>
        <w:spacing w:after="120"/>
      </w:pPr>
      <w:r>
        <w:rPr>
          <w:b w:val="0"/>
          <w:i w:val="0"/>
          <w:sz w:val="24"/>
        </w:rPr>
        <w:t>Частично визуализирован — есть Таблица 5 с функциональными сценариями. Этого для табличной части достаточно. Но «живость» тестов обязательно подкрепите скриншотами (рисунки 17 и 21 это закрывают). Дополнительно можно показать лог с ротацией (bot.log):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скриншот результата — опционально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фрагмент файла bot.log с записями событий и ошибок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22 — Фрагмент журнала событий bot.log»</w:t>
      </w:r>
    </w:p>
    <w:p>
      <w:pPr>
        <w:spacing w:before="240" w:after="120"/>
      </w:pPr>
      <w:r>
        <w:rPr>
          <w:b/>
          <w:color w:val="1F3964"/>
          <w:sz w:val="28"/>
        </w:rPr>
        <w:t>ГЛАВА 4. БЕЗОПАСНОСТЬ И ЭКОЛОГИЧНОСТЬ</w:t>
      </w:r>
    </w:p>
    <w:p>
      <w:pPr>
        <w:spacing w:before="160" w:after="80"/>
      </w:pPr>
      <w:r>
        <w:rPr>
          <w:b/>
          <w:color w:val="1F3964"/>
          <w:sz w:val="25"/>
        </w:rPr>
        <w:t>22. После абзаца (с. 31, п. 4.1) о журнале admin_actions:</w:t>
      </w:r>
    </w:p>
    <w:p>
      <w:pPr>
        <w:spacing w:before="80" w:after="40"/>
        <w:ind w:left="454"/>
      </w:pPr>
      <w:r>
        <w:rPr>
          <w:i/>
          <w:color w:val="555555"/>
        </w:rPr>
        <w:t>«Система ведет журнал действий администраторов. В таблицу admin_actions записываются запуск бота, изменение статуса заказа, рассылки, добавление и удаление товаров…»</w:t>
      </w:r>
    </w:p>
    <w:p>
      <w:pPr>
        <w:spacing w:before="40" w:after="40"/>
      </w:pPr>
      <w:r>
        <w:rPr>
          <w:b/>
          <w:color w:val="B03030"/>
        </w:rPr>
        <w:t>→ СЮДА ВСТАВИТЬ:</w:t>
      </w:r>
    </w:p>
    <w:p>
      <w:pPr>
        <w:pStyle w:val="ListBullet"/>
        <w:spacing w:after="0"/>
      </w:pPr>
      <w:r>
        <w:rPr>
          <w:b/>
        </w:rPr>
        <w:t xml:space="preserve">тип: </w:t>
      </w:r>
      <w:r>
        <w:t>скриншот результата (или таблица-выборка из БД)</w:t>
      </w:r>
    </w:p>
    <w:p>
      <w:pPr>
        <w:pStyle w:val="ListBullet"/>
        <w:spacing w:after="0"/>
      </w:pPr>
      <w:r>
        <w:rPr>
          <w:b/>
        </w:rPr>
        <w:t xml:space="preserve">что изобразить: </w:t>
      </w:r>
      <w:r>
        <w:t>содержимое таблицы admin_actions — несколько строк с полями (время, admin_id, действие, цель, фрагмент payload); демонстрирует реальный аудит</w:t>
      </w:r>
    </w:p>
    <w:p>
      <w:pPr>
        <w:pStyle w:val="ListBullet"/>
        <w:spacing w:after="120"/>
      </w:pPr>
      <w:r>
        <w:rPr>
          <w:b/>
        </w:rPr>
        <w:t xml:space="preserve">подпись рисунка: </w:t>
      </w:r>
      <w:r>
        <w:rPr>
          <w:b/>
          <w:color w:val="1E6B2E"/>
        </w:rPr>
        <w:t>«Рисунок 23 — Пример записей журнала действий администратора (admin_actions)»</w:t>
      </w:r>
    </w:p>
    <w:p>
      <w:pPr>
        <w:spacing w:after="120"/>
      </w:pPr>
      <w:r>
        <w:rPr>
          <w:b w:val="0"/>
          <w:i/>
          <w:color w:val="555555"/>
          <w:sz w:val="24"/>
        </w:rPr>
        <w:t>Остальная часть главы 4 (рассуждения о 152-ФЗ, OWASP ASVS, экологичности) — текстовая по своей природе, визуализации не требует. Раздел 4.2 (экологическая безопасность) оставляем без иллюстраций — добавлять сюда схемы значило бы делать «рисунок ради рисунка».</w:t>
      </w:r>
    </w:p>
    <w:p>
      <w:pPr>
        <w:spacing w:before="240" w:after="120"/>
      </w:pPr>
      <w:r>
        <w:rPr>
          <w:b/>
          <w:color w:val="1F3964"/>
          <w:sz w:val="28"/>
        </w:rPr>
        <w:t>ЗАКЛЮЧЕНИЕ</w:t>
      </w:r>
    </w:p>
    <w:p>
      <w:pPr>
        <w:spacing w:after="120"/>
      </w:pPr>
      <w:r>
        <w:rPr>
          <w:b w:val="0"/>
          <w:i w:val="0"/>
          <w:sz w:val="24"/>
        </w:rPr>
        <w:t>Раздел резюмирующий, новые рисунки не нужны. Все визуальные материалы должны быть представлены в основных главах.</w:t>
      </w:r>
    </w:p>
    <w:p>
      <w:r>
        <w:br w:type="page"/>
      </w:r>
    </w:p>
    <w:p>
      <w:pPr>
        <w:spacing w:before="240" w:after="120"/>
      </w:pPr>
      <w:r>
        <w:rPr>
          <w:b/>
          <w:color w:val="1F3964"/>
          <w:sz w:val="28"/>
        </w:rPr>
        <w:t>Сводная таблица: обязательный минимум для защиты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Приоритет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Рисунок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Где</w:t>
            </w:r>
          </w:p>
        </w:tc>
      </w:tr>
      <w:tr>
        <w:tc>
          <w:tcPr>
            <w:tcW w:type="dxa" w:w="2160"/>
          </w:tcPr>
          <w:p>
            <w:r>
              <w:t>Критично</w:t>
            </w:r>
          </w:p>
        </w:tc>
        <w:tc>
          <w:tcPr>
            <w:tcW w:type="dxa" w:w="2160"/>
          </w:tcPr>
          <w:p>
            <w:r>
              <w:t>Архитектура системы (Рис. 5)</w:t>
            </w:r>
          </w:p>
        </w:tc>
        <w:tc>
          <w:tcPr>
            <w:tcW w:type="dxa" w:w="2160"/>
          </w:tcPr>
          <w:p>
            <w:r>
              <w:t>Архитектурная схема</w:t>
            </w:r>
          </w:p>
        </w:tc>
        <w:tc>
          <w:tcPr>
            <w:tcW w:type="dxa" w:w="2160"/>
          </w:tcPr>
          <w:p>
            <w:r>
              <w:t>п. 2.1</w:t>
            </w:r>
          </w:p>
        </w:tc>
      </w:tr>
      <w:tr>
        <w:tc>
          <w:tcPr>
            <w:tcW w:type="dxa" w:w="2160"/>
          </w:tcPr>
          <w:p>
            <w:r>
              <w:t>Критично</w:t>
            </w:r>
          </w:p>
        </w:tc>
        <w:tc>
          <w:tcPr>
            <w:tcW w:type="dxa" w:w="2160"/>
          </w:tcPr>
          <w:p>
            <w:r>
              <w:t>ER-диаграмма БД (Рис. 11)</w:t>
            </w:r>
          </w:p>
        </w:tc>
        <w:tc>
          <w:tcPr>
            <w:tcW w:type="dxa" w:w="2160"/>
          </w:tcPr>
          <w:p>
            <w:r>
              <w:t>ER-диаграмма</w:t>
            </w:r>
          </w:p>
        </w:tc>
        <w:tc>
          <w:tcPr>
            <w:tcW w:type="dxa" w:w="2160"/>
          </w:tcPr>
          <w:p>
            <w:r>
              <w:t>п. 2.3 или 3.1</w:t>
            </w:r>
          </w:p>
        </w:tc>
      </w:tr>
      <w:tr>
        <w:tc>
          <w:tcPr>
            <w:tcW w:type="dxa" w:w="2160"/>
          </w:tcPr>
          <w:p>
            <w:r>
              <w:t>Критично</w:t>
            </w:r>
          </w:p>
        </w:tc>
        <w:tc>
          <w:tcPr>
            <w:tcW w:type="dxa" w:w="2160"/>
          </w:tcPr>
          <w:p>
            <w:r>
              <w:t>Блок-схема синхронизации (Рис. 7)</w:t>
            </w:r>
          </w:p>
        </w:tc>
        <w:tc>
          <w:tcPr>
            <w:tcW w:type="dxa" w:w="2160"/>
          </w:tcPr>
          <w:p>
            <w:r>
              <w:t>Блок-схема</w:t>
            </w:r>
          </w:p>
        </w:tc>
        <w:tc>
          <w:tcPr>
            <w:tcW w:type="dxa" w:w="2160"/>
          </w:tcPr>
          <w:p>
            <w:r>
              <w:t>п. 2.2</w:t>
            </w:r>
          </w:p>
        </w:tc>
      </w:tr>
      <w:tr>
        <w:tc>
          <w:tcPr>
            <w:tcW w:type="dxa" w:w="2160"/>
          </w:tcPr>
          <w:p>
            <w:r>
              <w:t>Критично</w:t>
            </w:r>
          </w:p>
        </w:tc>
        <w:tc>
          <w:tcPr>
            <w:tcW w:type="dxa" w:w="2160"/>
          </w:tcPr>
          <w:p>
            <w:r>
              <w:t>Карточка заказа (Рис. 14)</w:t>
            </w:r>
          </w:p>
        </w:tc>
        <w:tc>
          <w:tcPr>
            <w:tcW w:type="dxa" w:w="2160"/>
          </w:tcPr>
          <w:p>
            <w:r>
              <w:t>Скриншот</w:t>
            </w:r>
          </w:p>
        </w:tc>
        <w:tc>
          <w:tcPr>
            <w:tcW w:type="dxa" w:w="2160"/>
          </w:tcPr>
          <w:p>
            <w:r>
              <w:t>п. 3.1</w:t>
            </w:r>
          </w:p>
        </w:tc>
      </w:tr>
      <w:tr>
        <w:tc>
          <w:tcPr>
            <w:tcW w:type="dxa" w:w="2160"/>
          </w:tcPr>
          <w:p>
            <w:r>
              <w:t>Критично</w:t>
            </w:r>
          </w:p>
        </w:tc>
        <w:tc>
          <w:tcPr>
            <w:tcW w:type="dxa" w:w="2160"/>
          </w:tcPr>
          <w:p>
            <w:r>
              <w:t>График/дашборд (Рис. 17)</w:t>
            </w:r>
          </w:p>
        </w:tc>
        <w:tc>
          <w:tcPr>
            <w:tcW w:type="dxa" w:w="2160"/>
          </w:tcPr>
          <w:p>
            <w:r>
              <w:t>Скриншот + график</w:t>
            </w:r>
          </w:p>
        </w:tc>
        <w:tc>
          <w:tcPr>
            <w:tcW w:type="dxa" w:w="2160"/>
          </w:tcPr>
          <w:p>
            <w:r>
              <w:t>п. 3.1</w:t>
            </w:r>
          </w:p>
        </w:tc>
      </w:tr>
      <w:tr>
        <w:tc>
          <w:tcPr>
            <w:tcW w:type="dxa" w:w="2160"/>
          </w:tcPr>
          <w:p>
            <w:r>
              <w:t>Критично</w:t>
            </w:r>
          </w:p>
        </w:tc>
        <w:tc>
          <w:tcPr>
            <w:tcW w:type="dxa" w:w="2160"/>
          </w:tcPr>
          <w:p>
            <w:r>
              <w:t>DOCX-отчёт (Рис. 18)</w:t>
            </w:r>
          </w:p>
        </w:tc>
        <w:tc>
          <w:tcPr>
            <w:tcW w:type="dxa" w:w="2160"/>
          </w:tcPr>
          <w:p>
            <w:r>
              <w:t>Скриншот результата</w:t>
            </w:r>
          </w:p>
        </w:tc>
        <w:tc>
          <w:tcPr>
            <w:tcW w:type="dxa" w:w="2160"/>
          </w:tcPr>
          <w:p>
            <w:r>
              <w:t>п. 3.1</w:t>
            </w:r>
          </w:p>
        </w:tc>
      </w:tr>
      <w:tr>
        <w:tc>
          <w:tcPr>
            <w:tcW w:type="dxa" w:w="2160"/>
          </w:tcPr>
          <w:p>
            <w:r>
              <w:t>Желательно</w:t>
            </w:r>
          </w:p>
        </w:tc>
        <w:tc>
          <w:tcPr>
            <w:tcW w:type="dxa" w:w="2160"/>
          </w:tcPr>
          <w:p>
            <w:r>
              <w:t>Диаграмма состояний заказа (Рис. 2)</w:t>
            </w:r>
          </w:p>
        </w:tc>
        <w:tc>
          <w:tcPr>
            <w:tcW w:type="dxa" w:w="2160"/>
          </w:tcPr>
          <w:p>
            <w:r>
              <w:t>UML State</w:t>
            </w:r>
          </w:p>
        </w:tc>
        <w:tc>
          <w:tcPr>
            <w:tcW w:type="dxa" w:w="2160"/>
          </w:tcPr>
          <w:p>
            <w:r>
              <w:t>п. 1.1</w:t>
            </w:r>
          </w:p>
        </w:tc>
      </w:tr>
      <w:tr>
        <w:tc>
          <w:tcPr>
            <w:tcW w:type="dxa" w:w="2160"/>
          </w:tcPr>
          <w:p>
            <w:r>
              <w:t>Желательно</w:t>
            </w:r>
          </w:p>
        </w:tc>
        <w:tc>
          <w:tcPr>
            <w:tcW w:type="dxa" w:w="2160"/>
          </w:tcPr>
          <w:p>
            <w:r>
              <w:t>Классы источников BaseShopAPI (Рис. 6)</w:t>
            </w:r>
          </w:p>
        </w:tc>
        <w:tc>
          <w:tcPr>
            <w:tcW w:type="dxa" w:w="2160"/>
          </w:tcPr>
          <w:p>
            <w:r>
              <w:t>UML классов</w:t>
            </w:r>
          </w:p>
        </w:tc>
        <w:tc>
          <w:tcPr>
            <w:tcW w:type="dxa" w:w="2160"/>
          </w:tcPr>
          <w:p>
            <w:r>
              <w:t>п. 2.1</w:t>
            </w:r>
          </w:p>
        </w:tc>
      </w:tr>
      <w:tr>
        <w:tc>
          <w:tcPr>
            <w:tcW w:type="dxa" w:w="2160"/>
          </w:tcPr>
          <w:p>
            <w:r>
              <w:t>Желательно</w:t>
            </w:r>
          </w:p>
        </w:tc>
        <w:tc>
          <w:tcPr>
            <w:tcW w:type="dxa" w:w="2160"/>
          </w:tcPr>
          <w:p>
            <w:r>
              <w:t>Sequence смены статуса (Рис. 19)</w:t>
            </w:r>
          </w:p>
        </w:tc>
        <w:tc>
          <w:tcPr>
            <w:tcW w:type="dxa" w:w="2160"/>
          </w:tcPr>
          <w:p>
            <w:r>
              <w:t>UML sequence</w:t>
            </w:r>
          </w:p>
        </w:tc>
        <w:tc>
          <w:tcPr>
            <w:tcW w:type="dxa" w:w="2160"/>
          </w:tcPr>
          <w:p>
            <w:r>
              <w:t>п. 3.1</w:t>
            </w:r>
          </w:p>
        </w:tc>
      </w:tr>
      <w:tr>
        <w:tc>
          <w:tcPr>
            <w:tcW w:type="dxa" w:w="2160"/>
          </w:tcPr>
          <w:p>
            <w:r>
              <w:t>Желательно</w:t>
            </w:r>
          </w:p>
        </w:tc>
        <w:tc>
          <w:tcPr>
            <w:tcW w:type="dxa" w:w="2160"/>
          </w:tcPr>
          <w:p>
            <w:r>
              <w:t>Карточка товара (Рис. 15)</w:t>
            </w:r>
          </w:p>
        </w:tc>
        <w:tc>
          <w:tcPr>
            <w:tcW w:type="dxa" w:w="2160"/>
          </w:tcPr>
          <w:p>
            <w:r>
              <w:t>Скриншот</w:t>
            </w:r>
          </w:p>
        </w:tc>
        <w:tc>
          <w:tcPr>
            <w:tcW w:type="dxa" w:w="2160"/>
          </w:tcPr>
          <w:p>
            <w:r>
              <w:t>п. 3.1</w:t>
            </w:r>
          </w:p>
        </w:tc>
      </w:tr>
    </w:tbl>
    <w:p>
      <w:pPr>
        <w:spacing w:before="240" w:after="120"/>
      </w:pPr>
      <w:r>
        <w:rPr>
          <w:b/>
          <w:color w:val="1F3964"/>
          <w:sz w:val="28"/>
        </w:rPr>
        <w:t>Технические рекомендации по оформлению (ГОСТ 7.32-2017)</w:t>
      </w:r>
    </w:p>
    <w:p>
      <w:pPr>
        <w:pStyle w:val="ListNumber"/>
      </w:pPr>
      <w:r>
        <w:rPr>
          <w:b/>
        </w:rPr>
        <w:t xml:space="preserve">Нумерация — </w:t>
      </w:r>
      <w:r>
        <w:t>сквозная по всему тексту («Рисунок 1», «Рисунок 2»…) либо по разделам («Рисунок 2.1»). Поскольку таблицы у вас идут сквозной нумерацией (Таблица 1–5), рисунки тоже делайте сквозными.</w:t>
      </w:r>
    </w:p>
    <w:p>
      <w:pPr>
        <w:pStyle w:val="ListNumber"/>
      </w:pPr>
      <w:r>
        <w:rPr>
          <w:b/>
        </w:rPr>
        <w:t xml:space="preserve">Подпись — </w:t>
      </w:r>
      <w:r>
        <w:t>под рисунком, по центру, формат «Рисунок N — Наименование» (тире, не дефис, без точки в конце).</w:t>
      </w:r>
    </w:p>
    <w:p>
      <w:pPr>
        <w:pStyle w:val="ListNumber"/>
      </w:pPr>
      <w:r>
        <w:rPr>
          <w:b/>
        </w:rPr>
        <w:t xml:space="preserve">Ссылка в тексте — </w:t>
      </w:r>
      <w:r>
        <w:t>на каждый рисунок обязательна ссылка до его появления: «…показана на рисунке 5» или «(рисунок 5)».</w:t>
      </w:r>
    </w:p>
    <w:p>
      <w:pPr>
        <w:pStyle w:val="ListNumber"/>
      </w:pPr>
      <w:r>
        <w:rPr>
          <w:b/>
        </w:rPr>
        <w:t xml:space="preserve">Блок-схемы — </w:t>
      </w:r>
      <w:r>
        <w:t>оформляйте по ГОСТ 19.701-90 (ЕСПД): прямоугольник — процесс, ромб — решение, параллелограмм — ввод/вывод, овал — начало/конец.</w:t>
      </w:r>
    </w:p>
    <w:p>
      <w:pPr>
        <w:pStyle w:val="ListNumber"/>
      </w:pPr>
      <w:r>
        <w:rPr>
          <w:b/>
        </w:rPr>
        <w:t xml:space="preserve">Инструменты — </w:t>
      </w:r>
      <w:r>
        <w:t>архитектуру, ER, UML удобно сделать в draw.io / PlantUML / Mermaid; графики — ваш собственный matplotlib (build_orders_chart), просто сохраните реальный вывод; скриншоты — из работающего бота (в т. ч. демо-режим MockShopAPI, чтобы наполнить данными).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