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494" w:lineRule="exact" w:before="222" w:after="0"/>
        <w:ind w:left="1872" w:right="1872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52"/>
        </w:rPr>
        <w:t xml:space="preserve">THE QUIET LEDGER </w:t>
      </w:r>
      <w:r>
        <w:rPr>
          <w:rFonts w:ascii="Helvetica" w:hAnsi="Helvetica" w:eastAsia="Helvetica"/>
          <w:b w:val="0"/>
          <w:i/>
          <w:color w:val="000000"/>
          <w:sz w:val="26"/>
        </w:rPr>
        <w:t>How Small Firms Actually Make Decisions</w:t>
      </w:r>
    </w:p>
    <w:p>
      <w:pPr>
        <w:autoSpaceDN w:val="0"/>
        <w:autoSpaceDE w:val="0"/>
        <w:widowControl/>
        <w:spacing w:line="330" w:lineRule="exact" w:before="158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Priya Nakamura-Ochoa</w:t>
      </w:r>
    </w:p>
    <w:p>
      <w:pPr>
        <w:autoSpaceDN w:val="0"/>
        <w:autoSpaceDE w:val="0"/>
        <w:widowControl/>
        <w:spacing w:line="274" w:lineRule="exact" w:before="79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Fenwright &amp; Marsh Publishing</w:t>
      </w:r>
    </w:p>
    <w:p>
      <w:pPr>
        <w:sectPr>
          <w:pgSz w:w="11906" w:h="16838"/>
          <w:pgMar w:top="55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34"/>
        <w:ind w:left="0" w:right="0"/>
      </w:pPr>
    </w:p>
    <w:p>
      <w:pPr>
        <w:autoSpaceDN w:val="0"/>
        <w:autoSpaceDE w:val="0"/>
        <w:widowControl/>
        <w:spacing w:line="298" w:lineRule="exact" w:before="0" w:after="0"/>
        <w:ind w:left="98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 xml:space="preserve">Copyright © 2026 by Priya Nakamura-Ochoa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8"/>
        </w:rPr>
        <w:t xml:space="preserve">All rights reserved. No part of this publication may be reproduced, distributed, or transmitted in any form or by </w:t>
      </w:r>
      <w:r>
        <w:rPr>
          <w:rFonts w:ascii="Helvetica" w:hAnsi="Helvetica" w:eastAsia="Helvetica"/>
          <w:b w:val="0"/>
          <w:i w:val="0"/>
          <w:color w:val="000000"/>
          <w:sz w:val="18"/>
        </w:rPr>
        <w:t xml:space="preserve">any means, including photocopying, recording, or other electronic or mechanical methods, without the prior </w:t>
      </w:r>
      <w:r>
        <w:rPr>
          <w:rFonts w:ascii="Helvetica" w:hAnsi="Helvetica" w:eastAsia="Helvetica"/>
          <w:b w:val="0"/>
          <w:i w:val="0"/>
          <w:color w:val="000000"/>
          <w:sz w:val="18"/>
        </w:rPr>
        <w:t>written permission of the publisher.</w:t>
      </w:r>
    </w:p>
    <w:p>
      <w:pPr>
        <w:autoSpaceDN w:val="0"/>
        <w:autoSpaceDE w:val="0"/>
        <w:widowControl/>
        <w:spacing w:line="248" w:lineRule="exact" w:before="172" w:after="0"/>
        <w:ind w:left="9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Published by Fenwright &amp; Marsh Publishing, Portland, Oregon.</w:t>
      </w:r>
    </w:p>
    <w:p>
      <w:pPr>
        <w:autoSpaceDN w:val="0"/>
        <w:autoSpaceDE w:val="0"/>
        <w:widowControl/>
        <w:spacing w:line="420" w:lineRule="exact" w:before="0" w:after="0"/>
        <w:ind w:left="98" w:right="576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 xml:space="preserve">ISBN 978-1-64829-317-6 (hardcover)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8"/>
        </w:rPr>
        <w:t xml:space="preserve">ISBN 978-1-64829-318-3 (ebook)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8"/>
        </w:rPr>
        <w:t xml:space="preserve">First Edition: September 2026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8"/>
        </w:rPr>
        <w:t>Printed in the United States of America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0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98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CONTENTS</w:t>
      </w:r>
    </w:p>
    <w:p>
      <w:pPr>
        <w:autoSpaceDN w:val="0"/>
        <w:autoSpaceDE w:val="0"/>
        <w:widowControl/>
        <w:spacing w:line="360" w:lineRule="exact" w:before="202" w:after="0"/>
        <w:ind w:left="98" w:right="288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Introduction: The Decisions Nobody Writes Down    ..........     1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Chapter 1: The Quiet Ledger    ..........     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Chapter 2: Who Actually Approves the Invoice    ..........     24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Chapter 3: The Cost of Asking Twice    ..........     51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Chapter 4: Reading the Room Before the Meeting    ..........     78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Chapter 5: What the Spreadsheet Doesn't Say    ..........     104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Acknowledgments    ..........     231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1"/>
        </w:rPr>
        <w:t>Index    ..........     238</w:t>
      </w:r>
    </w:p>
    <w:p>
      <w:pPr>
        <w:autoSpaceDN w:val="0"/>
        <w:autoSpaceDE w:val="0"/>
        <w:widowControl/>
        <w:spacing w:line="220" w:lineRule="exact" w:before="112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3</w:t>
      </w:r>
    </w:p>
    <w:p>
      <w:pPr>
        <w:sectPr>
          <w:pgSz w:w="11906" w:h="16838"/>
          <w:pgMar w:top="560" w:right="1440" w:bottom="3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274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CHAPTER 1</w:t>
      </w:r>
    </w:p>
    <w:p>
      <w:pPr>
        <w:autoSpaceDN w:val="0"/>
        <w:autoSpaceDE w:val="0"/>
        <w:widowControl/>
        <w:spacing w:line="494" w:lineRule="exact" w:before="156" w:after="0"/>
        <w:ind w:left="98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6"/>
        </w:rPr>
        <w:t>The Quiet Ledger</w:t>
      </w:r>
    </w:p>
    <w:p>
      <w:pPr>
        <w:autoSpaceDN w:val="0"/>
        <w:autoSpaceDE w:val="0"/>
        <w:widowControl/>
        <w:spacing w:line="300" w:lineRule="exact" w:before="224" w:after="0"/>
        <w:ind w:left="98" w:right="98" w:firstLine="452"/>
        <w:jc w:val="both"/>
      </w:pP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Every small firm keeps two ledgers. One is the spreadsheet the accountant reconciles at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month's end. The other lives nowhere on paper: a running, informal tally of who owes whom a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favor, which vendor gets the benefit of the doubt, and whose invoice gets paid first when cash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>is tight.</w:t>
      </w:r>
    </w:p>
    <w:p>
      <w:pPr>
        <w:autoSpaceDN w:val="0"/>
        <w:autoSpaceDE w:val="0"/>
        <w:widowControl/>
        <w:spacing w:line="300" w:lineRule="exact" w:before="160" w:after="0"/>
        <w:ind w:left="98" w:right="98" w:firstLine="452"/>
        <w:jc w:val="both"/>
      </w:pPr>
      <w:r>
        <w:rPr>
          <w:rFonts w:ascii="Helvetica" w:hAnsi="Helvetica" w:eastAsia="Helvetica"/>
          <w:b w:val="0"/>
          <w:i w:val="0"/>
          <w:color w:val="000000"/>
          <w:sz w:val="21"/>
        </w:rPr>
        <w:t>Economists have documented this pattern in supplier networks for decades</w:t>
      </w:r>
      <w:r>
        <w:rPr>
          <w:rFonts w:ascii="Helvetica" w:hAnsi="Helvetica" w:eastAsia="Helvetica"/>
          <w:b w:val="0"/>
          <w:i w:val="0"/>
          <w:color w:val="000000"/>
          <w:sz w:val="17"/>
        </w:rPr>
        <w:t>1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, though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rarely inside a single firm's own accounts payable process, which is precisely where this book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>spends most of its attention.</w:t>
      </w:r>
    </w:p>
    <w:p>
      <w:pPr>
        <w:autoSpaceDN w:val="0"/>
        <w:tabs>
          <w:tab w:pos="550" w:val="left"/>
        </w:tabs>
        <w:autoSpaceDE w:val="0"/>
        <w:widowControl/>
        <w:spacing w:line="300" w:lineRule="exact" w:before="160" w:after="0"/>
        <w:ind w:left="9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The chapters that follow are built from eighteen months embedded across eleven small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>manufacturing and distribution firms, watching how the quiet ledger actually gets settled.</w:t>
      </w:r>
    </w:p>
    <w:p>
      <w:pPr>
        <w:autoSpaceDN w:val="0"/>
        <w:autoSpaceDE w:val="0"/>
        <w:widowControl/>
        <w:spacing w:line="180" w:lineRule="exact" w:before="1336" w:after="0"/>
        <w:ind w:left="98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 xml:space="preserve">1. See Granovetter (1985) on embeddedness in economic networks, and the extended discussion in Uzzi (1997) on the mixed costs </w:t>
      </w:r>
      <w:r>
        <w:rPr>
          <w:rFonts w:ascii="Helvetica" w:hAnsi="Helvetica" w:eastAsia="Helvetica"/>
          <w:b w:val="0"/>
          <w:i w:val="0"/>
          <w:color w:val="000000"/>
          <w:sz w:val="15"/>
        </w:rPr>
        <w:t>and benefits of embedded supplier ties.</w:t>
      </w:r>
    </w:p>
    <w:p>
      <w:pPr>
        <w:autoSpaceDN w:val="0"/>
        <w:autoSpaceDE w:val="0"/>
        <w:widowControl/>
        <w:spacing w:line="220" w:lineRule="exact" w:before="888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4</w:t>
      </w:r>
    </w:p>
    <w:sectPr w:rsidR="00FC693F" w:rsidRPr="0006063C" w:rsidSect="00034616">
      <w:pgSz w:w="11906" w:h="16838"/>
      <w:pgMar w:top="562" w:right="1440" w:bottom="37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