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40" w:lineRule="auto"/>
        <w:jc w:val="center"/>
      </w:pPr>
      <w:r>
        <w:rPr>
          <w:rFonts w:ascii="Times New Roman" w:hAnsi="Times New Roman" w:eastAsia="Times New Roman"/>
          <w:b/>
          <w:i w:val="0"/>
          <w:sz w:val="30"/>
        </w:rPr>
        <w:t>Early CVD Prediction: A Leakage-Audited Machine Learning Project for Heart Disease Prediction</w:t>
      </w:r>
    </w:p>
    <w:p>
      <w:pPr>
        <w:spacing w:after="40" w:line="240" w:lineRule="auto"/>
        <w:jc w:val="center"/>
      </w:pPr>
      <w:r>
        <w:rPr>
          <w:rFonts w:ascii="Times New Roman" w:hAnsi="Times New Roman" w:eastAsia="Times New Roman"/>
          <w:b w:val="0"/>
          <w:i w:val="0"/>
          <w:sz w:val="20"/>
        </w:rPr>
        <w:t>Mahmud Rashik</w:t>
      </w:r>
    </w:p>
    <w:p>
      <w:pPr>
        <w:spacing w:after="40" w:line="240" w:lineRule="auto"/>
        <w:jc w:val="center"/>
      </w:pPr>
      <w:r>
        <w:rPr>
          <w:rFonts w:ascii="Times New Roman" w:hAnsi="Times New Roman" w:eastAsia="Times New Roman"/>
          <w:b w:val="0"/>
          <w:i w:val="0"/>
          <w:sz w:val="18"/>
        </w:rPr>
        <w:t>Department of Computer Science and Engineering, Bangladesh University of Professionals, Dhaka, Bangladesh</w:t>
      </w:r>
    </w:p>
    <w:p>
      <w:pPr>
        <w:spacing w:after="40" w:line="240" w:lineRule="auto"/>
      </w:pPr>
      <w:r>
        <w:rPr>
          <w:rFonts w:ascii="Times New Roman" w:hAnsi="Times New Roman" w:eastAsia="Times New Roman"/>
          <w:b/>
        </w:rPr>
        <w:t>Abstract?</w:t>
      </w:r>
      <w:r>
        <w:rPr>
          <w:rFonts w:ascii="Times New Roman" w:hAnsi="Times New Roman" w:eastAsia="Times New Roman"/>
        </w:rPr>
        <w:t xml:space="preserve"> Heart disease prediction is a common machine-learning laboratory problem, but public benchmark datasets can produce misleading results when duplicates, leakage, validation design, and calibration are not handled carefully. This project develops a reproducible early cardiovascular disease prediction workflow using the supplied UCI-style heart disease dataset and a secondary heart.csv benchmark. The primary dataset contained 920 records from 4 centers. The secondary heart.csv file contained 1025 rows but only 302 unique rows after exact deduplication. Candidate models included penalized logistic regression, random forest, gradient boosting, calibrated gradient boosting, and an MLP baseline. Penalized logistic regression was selected because it provided the best balance of calibration, interpretability, and site-aware validation performance, with mean AUROC 0.799, AUPRC 0.880, Brier score 0.168, and balanced accuracy 0.745. The project includes a notebook, figures, tables, tests, and a FastAPI localhost app. It is not a clinical diagnostic device.</w:t>
      </w:r>
    </w:p>
    <w:p>
      <w:pPr>
        <w:spacing w:after="40" w:line="240" w:lineRule="auto"/>
      </w:pPr>
      <w:r>
        <w:rPr>
          <w:rFonts w:ascii="Times New Roman" w:hAnsi="Times New Roman" w:eastAsia="Times New Roman"/>
          <w:b/>
        </w:rPr>
        <w:t>Keywords?</w:t>
      </w:r>
      <w:r>
        <w:rPr>
          <w:rFonts w:ascii="Times New Roman" w:hAnsi="Times New Roman" w:eastAsia="Times New Roman"/>
        </w:rPr>
        <w:t xml:space="preserve"> cardiovascular disease prediction, heart disease, machine learning, calibration, explainable AI, site-aware validation</w:t>
      </w:r>
    </w:p>
    <w:p>
      <w:pPr>
        <w:spacing w:after="40" w:line="240" w:lineRule="auto"/>
        <w:sectPr>
          <w:pgSz w:w="11909" w:h="16834"/>
          <w:pgMar w:top="936" w:right="936" w:bottom="936" w:left="936" w:header="720" w:footer="720" w:gutter="0"/>
          <w:cols w:space="720"/>
          <w:docGrid w:linePitch="360"/>
        </w:sectPr>
      </w:pPr>
    </w:p>
    <w:p>
      <w:pPr>
        <w:spacing w:after="40" w:line="240" w:lineRule="auto"/>
        <w:jc w:val="center"/>
      </w:pPr>
      <w:r>
        <w:rPr>
          <w:rFonts w:ascii="Times New Roman" w:hAnsi="Times New Roman" w:eastAsia="Times New Roman"/>
          <w:b/>
          <w:i w:val="0"/>
          <w:sz w:val="20"/>
        </w:rPr>
        <w:t>I. INTRODUCTION</w:t>
      </w:r>
    </w:p>
    <w:p>
      <w:pPr>
        <w:spacing w:after="40" w:line="240" w:lineRule="auto"/>
      </w:pPr>
      <w:r>
        <w:rPr>
          <w:rFonts w:ascii="Times New Roman" w:hAnsi="Times New Roman" w:eastAsia="Times New Roman"/>
          <w:b w:val="0"/>
          <w:i w:val="0"/>
          <w:sz w:val="18"/>
        </w:rPr>
        <w:t>Early recognition of cardiovascular disease risk is clinically important and is also a practical machine-learning task because the available features are understandable: age, chest pain type, resting blood pressure, cholesterol, exercise-induced angina, ST depression, ST slope, major vessels, and thalassemia/stress-test category. The starting point of this work was an exploratory neural-network notebook. After auditing the notebook and datasets, the project was rebuilt as a reproducible prediction pipeline because the original workflow used a single random split and a different small heart.csv file.</w:t>
      </w:r>
    </w:p>
    <w:p>
      <w:pPr>
        <w:spacing w:after="40" w:line="240" w:lineRule="auto"/>
      </w:pPr>
      <w:r>
        <w:rPr>
          <w:rFonts w:ascii="Times New Roman" w:hAnsi="Times New Roman" w:eastAsia="Times New Roman"/>
          <w:b w:val="0"/>
          <w:i w:val="0"/>
          <w:sz w:val="18"/>
        </w:rPr>
        <w:t>The contribution of this project is a compact but complete ML workflow: data audit, duplicate analysis, leakage control, fold-contained preprocessing, site-aware validation, model comparison, calibration-aware model selection, explainability, and localhost deployment.</w:t>
      </w:r>
    </w:p>
    <w:p>
      <w:pPr>
        <w:spacing w:after="40" w:line="240" w:lineRule="auto"/>
        <w:jc w:val="center"/>
      </w:pPr>
      <w:r>
        <w:rPr>
          <w:rFonts w:ascii="Times New Roman" w:hAnsi="Times New Roman" w:eastAsia="Times New Roman"/>
          <w:b/>
          <w:i w:val="0"/>
          <w:sz w:val="20"/>
        </w:rPr>
        <w:t>II. LITERATURE REVIEW</w:t>
      </w:r>
    </w:p>
    <w:p>
      <w:pPr>
        <w:spacing w:after="40" w:line="240" w:lineRule="auto"/>
      </w:pPr>
      <w:r>
        <w:rPr>
          <w:rFonts w:ascii="Times New Roman" w:hAnsi="Times New Roman" w:eastAsia="Times New Roman"/>
          <w:b w:val="0"/>
          <w:i w:val="0"/>
          <w:sz w:val="18"/>
        </w:rPr>
        <w:t>Clinical prediction models should be judged by discrimination, calibration, stability, and interpretability rather than accuracy alone. TRIPOD+AI emphasizes transparent reporting of data sources, preprocessing, validation, and limitations for prediction models [1]. PROBAST+AI highlights risk of bias and applicability concerns in AI prediction studies [2]. Public UCI-style heart disease data are useful for reproducible learning, but they are small, historical, and not enough to claim clinical deployment readiness [3]. Explainability methods such as coefficient-based importance and SHAP-style summaries help check whether model behavior is plausible [5].</w:t>
      </w:r>
    </w:p>
    <w:p>
      <w:pPr>
        <w:spacing w:after="40" w:line="240" w:lineRule="auto"/>
        <w:jc w:val="center"/>
      </w:pPr>
      <w:r>
        <w:rPr>
          <w:rFonts w:ascii="Times New Roman" w:hAnsi="Times New Roman" w:eastAsia="Times New Roman"/>
          <w:b/>
          <w:i w:val="0"/>
          <w:sz w:val="20"/>
        </w:rPr>
        <w:t>III. METHODOLOGY</w:t>
      </w:r>
    </w:p>
    <w:p>
      <w:pPr>
        <w:spacing w:after="40" w:line="240" w:lineRule="auto"/>
      </w:pPr>
      <w:r>
        <w:rPr>
          <w:rFonts w:ascii="Times New Roman" w:hAnsi="Times New Roman" w:eastAsia="Times New Roman"/>
          <w:b w:val="0"/>
          <w:i w:val="0"/>
          <w:sz w:val="18"/>
        </w:rPr>
        <w:t>The primary dataset was heart_disease_uci.csv. The target was converted to a binary label: 0 for no recorded disease and 1 for disease when num &gt; 0. The center/source variable was used for validation grouping and was not used as a predictor. The secondary heart.csv file was treated as supplementary only because it contained exact duplicate rows.</w:t>
      </w:r>
    </w:p>
    <w:p>
      <w:pPr>
        <w:spacing w:after="40" w:line="240" w:lineRule="auto"/>
      </w:pPr>
      <w:r>
        <w:rPr>
          <w:rFonts w:ascii="Times New Roman" w:hAnsi="Times New Roman" w:eastAsia="Times New Roman"/>
          <w:b w:val="0"/>
          <w:i w:val="0"/>
          <w:sz w:val="18"/>
        </w:rPr>
        <w:t>Numeric predictors were median-imputed and standardized. Categorical predictors were most-frequent-imputed and one-hot encoded. All preprocessing was placed inside scikit-learn pipelines. The main validation was leave-one-center-out internal-external validation: one center was held out, models were selected using the remaining centers, and performance was measured on the held-out center.</w:t>
      </w:r>
    </w:p>
    <w:p>
      <w:pPr>
        <w:spacing w:after="40" w:line="240" w:lineRule="auto"/>
        <w:jc w:val="center"/>
      </w:pPr>
      <w:r>
        <w:rPr>
          <w:rFonts w:ascii="Times New Roman" w:hAnsi="Times New Roman" w:eastAsia="Times New Roman"/>
          <w:b w:val="0"/>
          <w:i/>
          <w:sz w:val="16"/>
        </w:rPr>
        <w:t>Table I. Dataset Audit Summary</w:t>
      </w:r>
    </w:p>
    <w:tbl>
      <w:tblPr>
        <w:tblStyle w:val="TableGrid"/>
        <w:tblW w:type="auto" w:w="0"/>
        <w:jc w:val="center"/>
        <w:tblLook w:firstColumn="1" w:firstRow="1" w:lastColumn="0" w:lastRow="0" w:noHBand="0" w:noVBand="1" w:val="04A0"/>
      </w:tblPr>
      <w:tblGrid>
        <w:gridCol w:w="2509"/>
        <w:gridCol w:w="2509"/>
        <w:gridCol w:w="2509"/>
        <w:gridCol w:w="2509"/>
      </w:tblGrid>
      <w:tr>
        <w:tc>
          <w:tcPr>
            <w:tcW w:type="dxa" w:w="2509"/>
            <w:vAlign w:val="center"/>
          </w:tcPr>
          <w:p>
            <w:pPr>
              <w:jc w:val="center"/>
            </w:pPr>
            <w:r>
              <w:rPr>
                <w:rFonts w:ascii="Times New Roman" w:hAnsi="Times New Roman"/>
                <w:sz w:val="14"/>
              </w:rPr>
              <w:t>Dataset</w:t>
            </w:r>
          </w:p>
        </w:tc>
        <w:tc>
          <w:tcPr>
            <w:tcW w:type="dxa" w:w="2509"/>
            <w:vAlign w:val="center"/>
          </w:tcPr>
          <w:p>
            <w:pPr>
              <w:jc w:val="center"/>
            </w:pPr>
            <w:r>
              <w:rPr>
                <w:rFonts w:ascii="Times New Roman" w:hAnsi="Times New Roman"/>
                <w:sz w:val="14"/>
              </w:rPr>
              <w:t>Role</w:t>
            </w:r>
          </w:p>
        </w:tc>
        <w:tc>
          <w:tcPr>
            <w:tcW w:type="dxa" w:w="2509"/>
            <w:vAlign w:val="center"/>
          </w:tcPr>
          <w:p>
            <w:pPr>
              <w:jc w:val="center"/>
            </w:pPr>
            <w:r>
              <w:rPr>
                <w:rFonts w:ascii="Times New Roman" w:hAnsi="Times New Roman"/>
                <w:sz w:val="14"/>
              </w:rPr>
              <w:t>Rows</w:t>
            </w:r>
          </w:p>
        </w:tc>
        <w:tc>
          <w:tcPr>
            <w:tcW w:type="dxa" w:w="2509"/>
            <w:vAlign w:val="center"/>
          </w:tcPr>
          <w:p>
            <w:pPr>
              <w:jc w:val="center"/>
            </w:pPr>
            <w:r>
              <w:rPr>
                <w:rFonts w:ascii="Times New Roman" w:hAnsi="Times New Roman"/>
                <w:sz w:val="14"/>
              </w:rPr>
              <w:t>Key finding</w:t>
            </w:r>
          </w:p>
        </w:tc>
      </w:tr>
      <w:tr>
        <w:tc>
          <w:tcPr>
            <w:tcW w:type="dxa" w:w="2509"/>
            <w:vAlign w:val="center"/>
          </w:tcPr>
          <w:p>
            <w:pPr>
              <w:jc w:val="center"/>
            </w:pPr>
            <w:r>
              <w:rPr>
                <w:rFonts w:ascii="Times New Roman" w:hAnsi="Times New Roman"/>
                <w:sz w:val="14"/>
              </w:rPr>
              <w:t>heart_disease_uci.csv</w:t>
            </w:r>
          </w:p>
        </w:tc>
        <w:tc>
          <w:tcPr>
            <w:tcW w:type="dxa" w:w="2509"/>
            <w:vAlign w:val="center"/>
          </w:tcPr>
          <w:p>
            <w:pPr>
              <w:jc w:val="center"/>
            </w:pPr>
            <w:r>
              <w:rPr>
                <w:rFonts w:ascii="Times New Roman" w:hAnsi="Times New Roman"/>
                <w:sz w:val="14"/>
              </w:rPr>
              <w:t>Primary</w:t>
            </w:r>
          </w:p>
        </w:tc>
        <w:tc>
          <w:tcPr>
            <w:tcW w:type="dxa" w:w="2509"/>
            <w:vAlign w:val="center"/>
          </w:tcPr>
          <w:p>
            <w:pPr>
              <w:jc w:val="center"/>
            </w:pPr>
            <w:r>
              <w:rPr>
                <w:rFonts w:ascii="Times New Roman" w:hAnsi="Times New Roman"/>
                <w:sz w:val="14"/>
              </w:rPr>
              <w:t>920</w:t>
            </w:r>
          </w:p>
        </w:tc>
        <w:tc>
          <w:tcPr>
            <w:tcW w:type="dxa" w:w="2509"/>
            <w:vAlign w:val="center"/>
          </w:tcPr>
          <w:p>
            <w:pPr>
              <w:jc w:val="center"/>
            </w:pPr>
            <w:r>
              <w:rPr>
                <w:rFonts w:ascii="Times New Roman" w:hAnsi="Times New Roman"/>
                <w:sz w:val="14"/>
              </w:rPr>
              <w:t>4 centers; 411 absent, 509 present</w:t>
            </w:r>
          </w:p>
        </w:tc>
      </w:tr>
      <w:tr>
        <w:tc>
          <w:tcPr>
            <w:tcW w:type="dxa" w:w="2509"/>
            <w:vAlign w:val="center"/>
          </w:tcPr>
          <w:p>
            <w:pPr>
              <w:jc w:val="center"/>
            </w:pPr>
            <w:r>
              <w:rPr>
                <w:rFonts w:ascii="Times New Roman" w:hAnsi="Times New Roman"/>
                <w:sz w:val="14"/>
              </w:rPr>
              <w:t>heart.csv</w:t>
            </w:r>
          </w:p>
        </w:tc>
        <w:tc>
          <w:tcPr>
            <w:tcW w:type="dxa" w:w="2509"/>
            <w:vAlign w:val="center"/>
          </w:tcPr>
          <w:p>
            <w:pPr>
              <w:jc w:val="center"/>
            </w:pPr>
            <w:r>
              <w:rPr>
                <w:rFonts w:ascii="Times New Roman" w:hAnsi="Times New Roman"/>
                <w:sz w:val="14"/>
              </w:rPr>
              <w:t>Supplementary</w:t>
            </w:r>
          </w:p>
        </w:tc>
        <w:tc>
          <w:tcPr>
            <w:tcW w:type="dxa" w:w="2509"/>
            <w:vAlign w:val="center"/>
          </w:tcPr>
          <w:p>
            <w:pPr>
              <w:jc w:val="center"/>
            </w:pPr>
            <w:r>
              <w:rPr>
                <w:rFonts w:ascii="Times New Roman" w:hAnsi="Times New Roman"/>
                <w:sz w:val="14"/>
              </w:rPr>
              <w:t>1025</w:t>
            </w:r>
          </w:p>
        </w:tc>
        <w:tc>
          <w:tcPr>
            <w:tcW w:type="dxa" w:w="2509"/>
            <w:vAlign w:val="center"/>
          </w:tcPr>
          <w:p>
            <w:pPr>
              <w:jc w:val="center"/>
            </w:pPr>
            <w:r>
              <w:rPr>
                <w:rFonts w:ascii="Times New Roman" w:hAnsi="Times New Roman"/>
                <w:sz w:val="14"/>
              </w:rPr>
              <w:t>723 duplicates; 302 unique rows</w:t>
            </w:r>
          </w:p>
        </w:tc>
      </w:tr>
    </w:tbl>
    <w:p>
      <w:pPr>
        <w:spacing w:after="40" w:line="240" w:lineRule="auto"/>
      </w:pPr>
      <w:r>
        <w:rPr>
          <w:rFonts w:ascii="Times New Roman" w:hAnsi="Times New Roman" w:eastAsia="Times New Roman"/>
          <w:b w:val="0"/>
          <w:i w:val="0"/>
          <w:sz w:val="18"/>
        </w:rPr>
        <w:t>Missingness was substantial for several predictors, especially ca 66.4%, thal 52.8%, slope 33.6%, fbs 9.8%, oldpeak 6.7%. This supported fold-contained imputation.</w:t>
      </w:r>
    </w:p>
    <w:p>
      <w:pPr>
        <w:spacing w:after="40" w:line="240" w:lineRule="auto"/>
        <w:jc w:val="center"/>
      </w:pPr>
      <w:r>
        <w:rPr>
          <w:rFonts w:ascii="Times New Roman" w:hAnsi="Times New Roman" w:eastAsia="Times New Roman"/>
          <w:b/>
          <w:i w:val="0"/>
          <w:sz w:val="20"/>
        </w:rPr>
        <w:t>IV. EXPERIMENTATION</w:t>
      </w:r>
    </w:p>
    <w:p>
      <w:pPr>
        <w:spacing w:after="40" w:line="240" w:lineRule="auto"/>
      </w:pPr>
      <w:r>
        <w:rPr>
          <w:rFonts w:ascii="Times New Roman" w:hAnsi="Times New Roman" w:eastAsia="Times New Roman"/>
          <w:b w:val="0"/>
          <w:i w:val="0"/>
          <w:sz w:val="18"/>
        </w:rPr>
        <w:t>Five model families were compared: penalized logistic regression, random forest, gradient boosting, calibrated gradient boosting, and an MLP baseline. Hyperparameter selection was performed only within development centers for each outer fold. Evaluation included AUROC, AUPRC, balanced accuracy, sensitivity, specificity, PPV, NPV, F1, MCC, Brier score, calibration slope/intercept, bootstrap confidence intervals, ROC curves, PR curves, calibration plots, threshold analysis, and explanation outputs.</w:t>
      </w:r>
    </w:p>
    <w:p>
      <w:pPr>
        <w:spacing w:after="40" w:line="240" w:lineRule="auto"/>
        <w:jc w:val="center"/>
      </w:pPr>
      <w:r>
        <w:rPr>
          <w:rFonts w:ascii="Times New Roman" w:hAnsi="Times New Roman" w:eastAsia="Times New Roman"/>
          <w:b/>
          <w:i w:val="0"/>
          <w:sz w:val="20"/>
        </w:rPr>
        <w:t>V. RESULTS AND DISCUSSION</w:t>
      </w:r>
    </w:p>
    <w:p>
      <w:pPr>
        <w:spacing w:after="40" w:line="240" w:lineRule="auto"/>
        <w:jc w:val="center"/>
      </w:pPr>
      <w:r>
        <w:rPr>
          <w:rFonts w:ascii="Times New Roman" w:hAnsi="Times New Roman" w:eastAsia="Times New Roman"/>
          <w:b w:val="0"/>
          <w:i/>
          <w:sz w:val="16"/>
        </w:rPr>
        <w:t>Table II. Primary Model Comparison</w:t>
      </w:r>
    </w:p>
    <w:tbl>
      <w:tblPr>
        <w:tblStyle w:val="TableGrid"/>
        <w:tblW w:type="auto" w:w="0"/>
        <w:jc w:val="center"/>
        <w:tblLook w:firstColumn="1" w:firstRow="1" w:lastColumn="0" w:lastRow="0" w:noHBand="0" w:noVBand="1" w:val="04A0"/>
      </w:tblPr>
      <w:tblGrid>
        <w:gridCol w:w="1673"/>
        <w:gridCol w:w="1673"/>
        <w:gridCol w:w="1673"/>
        <w:gridCol w:w="1673"/>
        <w:gridCol w:w="1673"/>
        <w:gridCol w:w="1673"/>
      </w:tblGrid>
      <w:tr>
        <w:tc>
          <w:tcPr>
            <w:tcW w:type="dxa" w:w="1673"/>
            <w:vAlign w:val="center"/>
          </w:tcPr>
          <w:p>
            <w:pPr>
              <w:jc w:val="center"/>
            </w:pPr>
            <w:r>
              <w:rPr>
                <w:rFonts w:ascii="Times New Roman" w:hAnsi="Times New Roman"/>
                <w:sz w:val="14"/>
              </w:rPr>
              <w:t>Model</w:t>
            </w:r>
          </w:p>
        </w:tc>
        <w:tc>
          <w:tcPr>
            <w:tcW w:type="dxa" w:w="1673"/>
            <w:vAlign w:val="center"/>
          </w:tcPr>
          <w:p>
            <w:pPr>
              <w:jc w:val="center"/>
            </w:pPr>
            <w:r>
              <w:rPr>
                <w:rFonts w:ascii="Times New Roman" w:hAnsi="Times New Roman"/>
                <w:sz w:val="14"/>
              </w:rPr>
              <w:t>AUROC</w:t>
            </w:r>
          </w:p>
        </w:tc>
        <w:tc>
          <w:tcPr>
            <w:tcW w:type="dxa" w:w="1673"/>
            <w:vAlign w:val="center"/>
          </w:tcPr>
          <w:p>
            <w:pPr>
              <w:jc w:val="center"/>
            </w:pPr>
            <w:r>
              <w:rPr>
                <w:rFonts w:ascii="Times New Roman" w:hAnsi="Times New Roman"/>
                <w:sz w:val="14"/>
              </w:rPr>
              <w:t>AUPRC</w:t>
            </w:r>
          </w:p>
        </w:tc>
        <w:tc>
          <w:tcPr>
            <w:tcW w:type="dxa" w:w="1673"/>
            <w:vAlign w:val="center"/>
          </w:tcPr>
          <w:p>
            <w:pPr>
              <w:jc w:val="center"/>
            </w:pPr>
            <w:r>
              <w:rPr>
                <w:rFonts w:ascii="Times New Roman" w:hAnsi="Times New Roman"/>
                <w:sz w:val="14"/>
              </w:rPr>
              <w:t>Brier</w:t>
            </w:r>
          </w:p>
        </w:tc>
        <w:tc>
          <w:tcPr>
            <w:tcW w:type="dxa" w:w="1673"/>
            <w:vAlign w:val="center"/>
          </w:tcPr>
          <w:p>
            <w:pPr>
              <w:jc w:val="center"/>
            </w:pPr>
            <w:r>
              <w:rPr>
                <w:rFonts w:ascii="Times New Roman" w:hAnsi="Times New Roman"/>
                <w:sz w:val="14"/>
              </w:rPr>
              <w:t>Bal. Acc.</w:t>
            </w:r>
          </w:p>
        </w:tc>
        <w:tc>
          <w:tcPr>
            <w:tcW w:type="dxa" w:w="1673"/>
            <w:vAlign w:val="center"/>
          </w:tcPr>
          <w:p>
            <w:pPr>
              <w:jc w:val="center"/>
            </w:pPr>
            <w:r>
              <w:rPr>
                <w:rFonts w:ascii="Times New Roman" w:hAnsi="Times New Roman"/>
                <w:sz w:val="14"/>
              </w:rPr>
              <w:t>MCC</w:t>
            </w:r>
          </w:p>
        </w:tc>
      </w:tr>
      <w:tr>
        <w:tc>
          <w:tcPr>
            <w:tcW w:type="dxa" w:w="1673"/>
            <w:vAlign w:val="center"/>
          </w:tcPr>
          <w:p>
            <w:pPr>
              <w:jc w:val="center"/>
            </w:pPr>
            <w:r>
              <w:rPr>
                <w:rFonts w:ascii="Times New Roman" w:hAnsi="Times New Roman"/>
                <w:sz w:val="14"/>
              </w:rPr>
              <w:t>Logistic regression</w:t>
            </w:r>
          </w:p>
        </w:tc>
        <w:tc>
          <w:tcPr>
            <w:tcW w:type="dxa" w:w="1673"/>
            <w:vAlign w:val="center"/>
          </w:tcPr>
          <w:p>
            <w:pPr>
              <w:jc w:val="center"/>
            </w:pPr>
            <w:r>
              <w:rPr>
                <w:rFonts w:ascii="Times New Roman" w:hAnsi="Times New Roman"/>
                <w:sz w:val="14"/>
              </w:rPr>
              <w:t>0.799</w:t>
            </w:r>
          </w:p>
        </w:tc>
        <w:tc>
          <w:tcPr>
            <w:tcW w:type="dxa" w:w="1673"/>
            <w:vAlign w:val="center"/>
          </w:tcPr>
          <w:p>
            <w:pPr>
              <w:jc w:val="center"/>
            </w:pPr>
            <w:r>
              <w:rPr>
                <w:rFonts w:ascii="Times New Roman" w:hAnsi="Times New Roman"/>
                <w:sz w:val="14"/>
              </w:rPr>
              <w:t>0.880</w:t>
            </w:r>
          </w:p>
        </w:tc>
        <w:tc>
          <w:tcPr>
            <w:tcW w:type="dxa" w:w="1673"/>
            <w:vAlign w:val="center"/>
          </w:tcPr>
          <w:p>
            <w:pPr>
              <w:jc w:val="center"/>
            </w:pPr>
            <w:r>
              <w:rPr>
                <w:rFonts w:ascii="Times New Roman" w:hAnsi="Times New Roman"/>
                <w:sz w:val="14"/>
              </w:rPr>
              <w:t>0.168</w:t>
            </w:r>
          </w:p>
        </w:tc>
        <w:tc>
          <w:tcPr>
            <w:tcW w:type="dxa" w:w="1673"/>
            <w:vAlign w:val="center"/>
          </w:tcPr>
          <w:p>
            <w:pPr>
              <w:jc w:val="center"/>
            </w:pPr>
            <w:r>
              <w:rPr>
                <w:rFonts w:ascii="Times New Roman" w:hAnsi="Times New Roman"/>
                <w:sz w:val="14"/>
              </w:rPr>
              <w:t>0.745</w:t>
            </w:r>
          </w:p>
        </w:tc>
        <w:tc>
          <w:tcPr>
            <w:tcW w:type="dxa" w:w="1673"/>
            <w:vAlign w:val="center"/>
          </w:tcPr>
          <w:p>
            <w:pPr>
              <w:jc w:val="center"/>
            </w:pPr>
            <w:r>
              <w:rPr>
                <w:rFonts w:ascii="Times New Roman" w:hAnsi="Times New Roman"/>
                <w:sz w:val="14"/>
              </w:rPr>
              <w:t>0.441</w:t>
            </w:r>
          </w:p>
        </w:tc>
      </w:tr>
      <w:tr>
        <w:tc>
          <w:tcPr>
            <w:tcW w:type="dxa" w:w="1673"/>
            <w:vAlign w:val="center"/>
          </w:tcPr>
          <w:p>
            <w:pPr>
              <w:jc w:val="center"/>
            </w:pPr>
            <w:r>
              <w:rPr>
                <w:rFonts w:ascii="Times New Roman" w:hAnsi="Times New Roman"/>
                <w:sz w:val="14"/>
              </w:rPr>
              <w:t>Calibrated gradient boosting</w:t>
            </w:r>
          </w:p>
        </w:tc>
        <w:tc>
          <w:tcPr>
            <w:tcW w:type="dxa" w:w="1673"/>
            <w:vAlign w:val="center"/>
          </w:tcPr>
          <w:p>
            <w:pPr>
              <w:jc w:val="center"/>
            </w:pPr>
            <w:r>
              <w:rPr>
                <w:rFonts w:ascii="Times New Roman" w:hAnsi="Times New Roman"/>
                <w:sz w:val="14"/>
              </w:rPr>
              <w:t>0.809</w:t>
            </w:r>
          </w:p>
        </w:tc>
        <w:tc>
          <w:tcPr>
            <w:tcW w:type="dxa" w:w="1673"/>
            <w:vAlign w:val="center"/>
          </w:tcPr>
          <w:p>
            <w:pPr>
              <w:jc w:val="center"/>
            </w:pPr>
            <w:r>
              <w:rPr>
                <w:rFonts w:ascii="Times New Roman" w:hAnsi="Times New Roman"/>
                <w:sz w:val="14"/>
              </w:rPr>
              <w:t>0.877</w:t>
            </w:r>
          </w:p>
        </w:tc>
        <w:tc>
          <w:tcPr>
            <w:tcW w:type="dxa" w:w="1673"/>
            <w:vAlign w:val="center"/>
          </w:tcPr>
          <w:p>
            <w:pPr>
              <w:jc w:val="center"/>
            </w:pPr>
            <w:r>
              <w:rPr>
                <w:rFonts w:ascii="Times New Roman" w:hAnsi="Times New Roman"/>
                <w:sz w:val="14"/>
              </w:rPr>
              <w:t>0.174</w:t>
            </w:r>
          </w:p>
        </w:tc>
        <w:tc>
          <w:tcPr>
            <w:tcW w:type="dxa" w:w="1673"/>
            <w:vAlign w:val="center"/>
          </w:tcPr>
          <w:p>
            <w:pPr>
              <w:jc w:val="center"/>
            </w:pPr>
            <w:r>
              <w:rPr>
                <w:rFonts w:ascii="Times New Roman" w:hAnsi="Times New Roman"/>
                <w:sz w:val="14"/>
              </w:rPr>
              <w:t>0.714</w:t>
            </w:r>
          </w:p>
        </w:tc>
        <w:tc>
          <w:tcPr>
            <w:tcW w:type="dxa" w:w="1673"/>
            <w:vAlign w:val="center"/>
          </w:tcPr>
          <w:p>
            <w:pPr>
              <w:jc w:val="center"/>
            </w:pPr>
            <w:r>
              <w:rPr>
                <w:rFonts w:ascii="Times New Roman" w:hAnsi="Times New Roman"/>
                <w:sz w:val="14"/>
              </w:rPr>
              <w:t>0.385</w:t>
            </w:r>
          </w:p>
        </w:tc>
      </w:tr>
      <w:tr>
        <w:tc>
          <w:tcPr>
            <w:tcW w:type="dxa" w:w="1673"/>
            <w:vAlign w:val="center"/>
          </w:tcPr>
          <w:p>
            <w:pPr>
              <w:jc w:val="center"/>
            </w:pPr>
            <w:r>
              <w:rPr>
                <w:rFonts w:ascii="Times New Roman" w:hAnsi="Times New Roman"/>
                <w:sz w:val="14"/>
              </w:rPr>
              <w:t>Random forest</w:t>
            </w:r>
          </w:p>
        </w:tc>
        <w:tc>
          <w:tcPr>
            <w:tcW w:type="dxa" w:w="1673"/>
            <w:vAlign w:val="center"/>
          </w:tcPr>
          <w:p>
            <w:pPr>
              <w:jc w:val="center"/>
            </w:pPr>
            <w:r>
              <w:rPr>
                <w:rFonts w:ascii="Times New Roman" w:hAnsi="Times New Roman"/>
                <w:sz w:val="14"/>
              </w:rPr>
              <w:t>0.800</w:t>
            </w:r>
          </w:p>
        </w:tc>
        <w:tc>
          <w:tcPr>
            <w:tcW w:type="dxa" w:w="1673"/>
            <w:vAlign w:val="center"/>
          </w:tcPr>
          <w:p>
            <w:pPr>
              <w:jc w:val="center"/>
            </w:pPr>
            <w:r>
              <w:rPr>
                <w:rFonts w:ascii="Times New Roman" w:hAnsi="Times New Roman"/>
                <w:sz w:val="14"/>
              </w:rPr>
              <w:t>0.873</w:t>
            </w:r>
          </w:p>
        </w:tc>
        <w:tc>
          <w:tcPr>
            <w:tcW w:type="dxa" w:w="1673"/>
            <w:vAlign w:val="center"/>
          </w:tcPr>
          <w:p>
            <w:pPr>
              <w:jc w:val="center"/>
            </w:pPr>
            <w:r>
              <w:rPr>
                <w:rFonts w:ascii="Times New Roman" w:hAnsi="Times New Roman"/>
                <w:sz w:val="14"/>
              </w:rPr>
              <w:t>0.170</w:t>
            </w:r>
          </w:p>
        </w:tc>
        <w:tc>
          <w:tcPr>
            <w:tcW w:type="dxa" w:w="1673"/>
            <w:vAlign w:val="center"/>
          </w:tcPr>
          <w:p>
            <w:pPr>
              <w:jc w:val="center"/>
            </w:pPr>
            <w:r>
              <w:rPr>
                <w:rFonts w:ascii="Times New Roman" w:hAnsi="Times New Roman"/>
                <w:sz w:val="14"/>
              </w:rPr>
              <w:t>0.716</w:t>
            </w:r>
          </w:p>
        </w:tc>
        <w:tc>
          <w:tcPr>
            <w:tcW w:type="dxa" w:w="1673"/>
            <w:vAlign w:val="center"/>
          </w:tcPr>
          <w:p>
            <w:pPr>
              <w:jc w:val="center"/>
            </w:pPr>
            <w:r>
              <w:rPr>
                <w:rFonts w:ascii="Times New Roman" w:hAnsi="Times New Roman"/>
                <w:sz w:val="14"/>
              </w:rPr>
              <w:t>0.387</w:t>
            </w:r>
          </w:p>
        </w:tc>
      </w:tr>
      <w:tr>
        <w:tc>
          <w:tcPr>
            <w:tcW w:type="dxa" w:w="1673"/>
            <w:vAlign w:val="center"/>
          </w:tcPr>
          <w:p>
            <w:pPr>
              <w:jc w:val="center"/>
            </w:pPr>
            <w:r>
              <w:rPr>
                <w:rFonts w:ascii="Times New Roman" w:hAnsi="Times New Roman"/>
                <w:sz w:val="14"/>
              </w:rPr>
              <w:t>Gradient boosting</w:t>
            </w:r>
          </w:p>
        </w:tc>
        <w:tc>
          <w:tcPr>
            <w:tcW w:type="dxa" w:w="1673"/>
            <w:vAlign w:val="center"/>
          </w:tcPr>
          <w:p>
            <w:pPr>
              <w:jc w:val="center"/>
            </w:pPr>
            <w:r>
              <w:rPr>
                <w:rFonts w:ascii="Times New Roman" w:hAnsi="Times New Roman"/>
                <w:sz w:val="14"/>
              </w:rPr>
              <w:t>0.793</w:t>
            </w:r>
          </w:p>
        </w:tc>
        <w:tc>
          <w:tcPr>
            <w:tcW w:type="dxa" w:w="1673"/>
            <w:vAlign w:val="center"/>
          </w:tcPr>
          <w:p>
            <w:pPr>
              <w:jc w:val="center"/>
            </w:pPr>
            <w:r>
              <w:rPr>
                <w:rFonts w:ascii="Times New Roman" w:hAnsi="Times New Roman"/>
                <w:sz w:val="14"/>
              </w:rPr>
              <w:t>0.861</w:t>
            </w:r>
          </w:p>
        </w:tc>
        <w:tc>
          <w:tcPr>
            <w:tcW w:type="dxa" w:w="1673"/>
            <w:vAlign w:val="center"/>
          </w:tcPr>
          <w:p>
            <w:pPr>
              <w:jc w:val="center"/>
            </w:pPr>
            <w:r>
              <w:rPr>
                <w:rFonts w:ascii="Times New Roman" w:hAnsi="Times New Roman"/>
                <w:sz w:val="14"/>
              </w:rPr>
              <w:t>0.180</w:t>
            </w:r>
          </w:p>
        </w:tc>
        <w:tc>
          <w:tcPr>
            <w:tcW w:type="dxa" w:w="1673"/>
            <w:vAlign w:val="center"/>
          </w:tcPr>
          <w:p>
            <w:pPr>
              <w:jc w:val="center"/>
            </w:pPr>
            <w:r>
              <w:rPr>
                <w:rFonts w:ascii="Times New Roman" w:hAnsi="Times New Roman"/>
                <w:sz w:val="14"/>
              </w:rPr>
              <w:t>0.732</w:t>
            </w:r>
          </w:p>
        </w:tc>
        <w:tc>
          <w:tcPr>
            <w:tcW w:type="dxa" w:w="1673"/>
            <w:vAlign w:val="center"/>
          </w:tcPr>
          <w:p>
            <w:pPr>
              <w:jc w:val="center"/>
            </w:pPr>
            <w:r>
              <w:rPr>
                <w:rFonts w:ascii="Times New Roman" w:hAnsi="Times New Roman"/>
                <w:sz w:val="14"/>
              </w:rPr>
              <w:t>0.410</w:t>
            </w:r>
          </w:p>
        </w:tc>
      </w:tr>
      <w:tr>
        <w:tc>
          <w:tcPr>
            <w:tcW w:type="dxa" w:w="1673"/>
            <w:vAlign w:val="center"/>
          </w:tcPr>
          <w:p>
            <w:pPr>
              <w:jc w:val="center"/>
            </w:pPr>
            <w:r>
              <w:rPr>
                <w:rFonts w:ascii="Times New Roman" w:hAnsi="Times New Roman"/>
                <w:sz w:val="14"/>
              </w:rPr>
              <w:t>MLP baseline</w:t>
            </w:r>
          </w:p>
        </w:tc>
        <w:tc>
          <w:tcPr>
            <w:tcW w:type="dxa" w:w="1673"/>
            <w:vAlign w:val="center"/>
          </w:tcPr>
          <w:p>
            <w:pPr>
              <w:jc w:val="center"/>
            </w:pPr>
            <w:r>
              <w:rPr>
                <w:rFonts w:ascii="Times New Roman" w:hAnsi="Times New Roman"/>
                <w:sz w:val="14"/>
              </w:rPr>
              <w:t>0.779</w:t>
            </w:r>
          </w:p>
        </w:tc>
        <w:tc>
          <w:tcPr>
            <w:tcW w:type="dxa" w:w="1673"/>
            <w:vAlign w:val="center"/>
          </w:tcPr>
          <w:p>
            <w:pPr>
              <w:jc w:val="center"/>
            </w:pPr>
            <w:r>
              <w:rPr>
                <w:rFonts w:ascii="Times New Roman" w:hAnsi="Times New Roman"/>
                <w:sz w:val="14"/>
              </w:rPr>
              <w:t>0.858</w:t>
            </w:r>
          </w:p>
        </w:tc>
        <w:tc>
          <w:tcPr>
            <w:tcW w:type="dxa" w:w="1673"/>
            <w:vAlign w:val="center"/>
          </w:tcPr>
          <w:p>
            <w:pPr>
              <w:jc w:val="center"/>
            </w:pPr>
            <w:r>
              <w:rPr>
                <w:rFonts w:ascii="Times New Roman" w:hAnsi="Times New Roman"/>
                <w:sz w:val="14"/>
              </w:rPr>
              <w:t>0.187</w:t>
            </w:r>
          </w:p>
        </w:tc>
        <w:tc>
          <w:tcPr>
            <w:tcW w:type="dxa" w:w="1673"/>
            <w:vAlign w:val="center"/>
          </w:tcPr>
          <w:p>
            <w:pPr>
              <w:jc w:val="center"/>
            </w:pPr>
            <w:r>
              <w:rPr>
                <w:rFonts w:ascii="Times New Roman" w:hAnsi="Times New Roman"/>
                <w:sz w:val="14"/>
              </w:rPr>
              <w:t>0.678</w:t>
            </w:r>
          </w:p>
        </w:tc>
        <w:tc>
          <w:tcPr>
            <w:tcW w:type="dxa" w:w="1673"/>
            <w:vAlign w:val="center"/>
          </w:tcPr>
          <w:p>
            <w:pPr>
              <w:jc w:val="center"/>
            </w:pPr>
            <w:r>
              <w:rPr>
                <w:rFonts w:ascii="Times New Roman" w:hAnsi="Times New Roman"/>
                <w:sz w:val="14"/>
              </w:rPr>
              <w:t>0.342</w:t>
            </w:r>
          </w:p>
        </w:tc>
      </w:tr>
    </w:tbl>
    <w:p>
      <w:pPr>
        <w:spacing w:after="40" w:line="240" w:lineRule="auto"/>
      </w:pPr>
      <w:r>
        <w:rPr>
          <w:rFonts w:ascii="Times New Roman" w:hAnsi="Times New Roman" w:eastAsia="Times New Roman"/>
          <w:b w:val="0"/>
          <w:i w:val="0"/>
          <w:sz w:val="18"/>
        </w:rPr>
        <w:t>Calibrated gradient boosting had the highest mean AUROC, but penalized logistic regression was selected because it had the best overall ranking after considering AUPRC, Brier score, MCC, calibration slope, stability, and interpretability. For pooled held-out-center predictions, logistic regression achieved AUROC 0.855 (95% bootstrap CI 0.828-0.878), AUPRC 0.864 (0.825-0.893), Brier score 0.159 (0.145-0.173), and balanced accuracy 0.785 (0.756-0.811).</w:t>
      </w:r>
    </w:p>
    <w:p>
      <w:pPr>
        <w:spacing w:after="40" w:line="240" w:lineRule="auto"/>
        <w:jc w:val="center"/>
      </w:pPr>
      <w:r>
        <w:rPr>
          <w:rFonts w:ascii="Times New Roman" w:hAnsi="Times New Roman" w:eastAsia="Times New Roman"/>
        </w:rPr>
        <w:drawing>
          <wp:inline xmlns:a="http://schemas.openxmlformats.org/drawingml/2006/main" xmlns:pic="http://schemas.openxmlformats.org/drawingml/2006/picture">
            <wp:extent cx="2880360" cy="1519050"/>
            <wp:docPr id="1" name="Picture 1"/>
            <wp:cNvGraphicFramePr>
              <a:graphicFrameLocks noChangeAspect="1"/>
            </wp:cNvGraphicFramePr>
            <a:graphic>
              <a:graphicData uri="http://schemas.openxmlformats.org/drawingml/2006/picture">
                <pic:pic>
                  <pic:nvPicPr>
                    <pic:cNvPr id="0" name="model_comparison.png"/>
                    <pic:cNvPicPr/>
                  </pic:nvPicPr>
                  <pic:blipFill>
                    <a:blip r:embed="rId9"/>
                    <a:stretch>
                      <a:fillRect/>
                    </a:stretch>
                  </pic:blipFill>
                  <pic:spPr>
                    <a:xfrm>
                      <a:off x="0" y="0"/>
                      <a:ext cx="2880360" cy="1519050"/>
                    </a:xfrm>
                    <a:prstGeom prst="rect"/>
                  </pic:spPr>
                </pic:pic>
              </a:graphicData>
            </a:graphic>
          </wp:inline>
        </w:drawing>
      </w:r>
    </w:p>
    <w:p>
      <w:pPr>
        <w:spacing w:after="40" w:line="240" w:lineRule="auto"/>
        <w:jc w:val="center"/>
      </w:pPr>
      <w:r>
        <w:rPr>
          <w:rFonts w:ascii="Times New Roman" w:hAnsi="Times New Roman" w:eastAsia="Times New Roman"/>
          <w:b w:val="0"/>
          <w:i/>
          <w:sz w:val="16"/>
        </w:rPr>
        <w:t>Fig. 1. Model comparison across center-aware validation folds.</w:t>
      </w:r>
    </w:p>
    <w:p>
      <w:pPr>
        <w:spacing w:after="40" w:line="240" w:lineRule="auto"/>
        <w:jc w:val="center"/>
      </w:pPr>
      <w:r>
        <w:rPr>
          <w:rFonts w:ascii="Times New Roman" w:hAnsi="Times New Roman" w:eastAsia="Times New Roman"/>
        </w:rPr>
        <w:drawing>
          <wp:inline xmlns:a="http://schemas.openxmlformats.org/drawingml/2006/main" xmlns:pic="http://schemas.openxmlformats.org/drawingml/2006/picture">
            <wp:extent cx="2880360" cy="2916166"/>
            <wp:docPr id="2" name="Picture 2"/>
            <wp:cNvGraphicFramePr>
              <a:graphicFrameLocks noChangeAspect="1"/>
            </wp:cNvGraphicFramePr>
            <a:graphic>
              <a:graphicData uri="http://schemas.openxmlformats.org/drawingml/2006/picture">
                <pic:pic>
                  <pic:nvPicPr>
                    <pic:cNvPr id="0" name="roc_curves.png"/>
                    <pic:cNvPicPr/>
                  </pic:nvPicPr>
                  <pic:blipFill>
                    <a:blip r:embed="rId10"/>
                    <a:stretch>
                      <a:fillRect/>
                    </a:stretch>
                  </pic:blipFill>
                  <pic:spPr>
                    <a:xfrm>
                      <a:off x="0" y="0"/>
                      <a:ext cx="2880360" cy="2916166"/>
                    </a:xfrm>
                    <a:prstGeom prst="rect"/>
                  </pic:spPr>
                </pic:pic>
              </a:graphicData>
            </a:graphic>
          </wp:inline>
        </w:drawing>
      </w:r>
    </w:p>
    <w:p>
      <w:pPr>
        <w:spacing w:after="40" w:line="240" w:lineRule="auto"/>
        <w:jc w:val="center"/>
      </w:pPr>
      <w:r>
        <w:rPr>
          <w:rFonts w:ascii="Times New Roman" w:hAnsi="Times New Roman" w:eastAsia="Times New Roman"/>
          <w:b w:val="0"/>
          <w:i/>
          <w:sz w:val="16"/>
        </w:rPr>
        <w:t>Fig. 2. ROC curves for compared models.</w:t>
      </w:r>
    </w:p>
    <w:p>
      <w:pPr>
        <w:spacing w:after="40" w:line="240" w:lineRule="auto"/>
        <w:jc w:val="center"/>
      </w:pPr>
      <w:r>
        <w:rPr>
          <w:rFonts w:ascii="Times New Roman" w:hAnsi="Times New Roman" w:eastAsia="Times New Roman"/>
        </w:rPr>
        <w:drawing>
          <wp:inline xmlns:a="http://schemas.openxmlformats.org/drawingml/2006/main" xmlns:pic="http://schemas.openxmlformats.org/drawingml/2006/picture">
            <wp:extent cx="2880360" cy="2385654"/>
            <wp:docPr id="3" name="Picture 3"/>
            <wp:cNvGraphicFramePr>
              <a:graphicFrameLocks noChangeAspect="1"/>
            </wp:cNvGraphicFramePr>
            <a:graphic>
              <a:graphicData uri="http://schemas.openxmlformats.org/drawingml/2006/picture">
                <pic:pic>
                  <pic:nvPicPr>
                    <pic:cNvPr id="0" name="calibration_plots.png"/>
                    <pic:cNvPicPr/>
                  </pic:nvPicPr>
                  <pic:blipFill>
                    <a:blip r:embed="rId11"/>
                    <a:stretch>
                      <a:fillRect/>
                    </a:stretch>
                  </pic:blipFill>
                  <pic:spPr>
                    <a:xfrm>
                      <a:off x="0" y="0"/>
                      <a:ext cx="2880360" cy="2385654"/>
                    </a:xfrm>
                    <a:prstGeom prst="rect"/>
                  </pic:spPr>
                </pic:pic>
              </a:graphicData>
            </a:graphic>
          </wp:inline>
        </w:drawing>
      </w:r>
    </w:p>
    <w:p>
      <w:pPr>
        <w:spacing w:after="40" w:line="240" w:lineRule="auto"/>
        <w:jc w:val="center"/>
      </w:pPr>
      <w:r>
        <w:rPr>
          <w:rFonts w:ascii="Times New Roman" w:hAnsi="Times New Roman" w:eastAsia="Times New Roman"/>
          <w:b w:val="0"/>
          <w:i/>
          <w:sz w:val="16"/>
        </w:rPr>
        <w:t>Fig. 3. Calibration curves for compared models.</w:t>
      </w:r>
    </w:p>
    <w:p>
      <w:pPr>
        <w:spacing w:after="40" w:line="240" w:lineRule="auto"/>
      </w:pPr>
      <w:r>
        <w:rPr>
          <w:rFonts w:ascii="Times New Roman" w:hAnsi="Times New Roman" w:eastAsia="Times New Roman"/>
          <w:b w:val="0"/>
          <w:i w:val="0"/>
          <w:sz w:val="18"/>
        </w:rPr>
        <w:t>At threshold 0.50, the selected model reached sensitivity 0.729, specificity 0.842, PPV 0.851, NPV 0.715, and MCC 0.568. The app reports probability and risk category rather than claiming one universal clinical threshold.</w:t>
      </w:r>
    </w:p>
    <w:p>
      <w:pPr>
        <w:spacing w:after="40" w:line="240" w:lineRule="auto"/>
      </w:pPr>
      <w:r>
        <w:rPr>
          <w:rFonts w:ascii="Times New Roman" w:hAnsi="Times New Roman" w:eastAsia="Times New Roman"/>
          <w:b w:val="0"/>
          <w:i w:val="0"/>
          <w:sz w:val="18"/>
        </w:rPr>
        <w:t>The strongest global predictors included cp, sex, exang, thal, slope, oldpeak. These variables are clinically plausible for a benchmark heart disease task, but the model should not be interpreted causally.</w:t>
      </w:r>
    </w:p>
    <w:p>
      <w:pPr>
        <w:spacing w:after="40" w:line="240" w:lineRule="auto"/>
        <w:jc w:val="center"/>
      </w:pPr>
      <w:r>
        <w:rPr>
          <w:rFonts w:ascii="Times New Roman" w:hAnsi="Times New Roman" w:eastAsia="Times New Roman"/>
        </w:rPr>
        <w:drawing>
          <wp:inline xmlns:a="http://schemas.openxmlformats.org/drawingml/2006/main" xmlns:pic="http://schemas.openxmlformats.org/drawingml/2006/picture">
            <wp:extent cx="2880360" cy="2042868"/>
            <wp:docPr id="4" name="Picture 4"/>
            <wp:cNvGraphicFramePr>
              <a:graphicFrameLocks noChangeAspect="1"/>
            </wp:cNvGraphicFramePr>
            <a:graphic>
              <a:graphicData uri="http://schemas.openxmlformats.org/drawingml/2006/picture">
                <pic:pic>
                  <pic:nvPicPr>
                    <pic:cNvPr id="0" name="global_feature_importance.png"/>
                    <pic:cNvPicPr/>
                  </pic:nvPicPr>
                  <pic:blipFill>
                    <a:blip r:embed="rId12"/>
                    <a:stretch>
                      <a:fillRect/>
                    </a:stretch>
                  </pic:blipFill>
                  <pic:spPr>
                    <a:xfrm>
                      <a:off x="0" y="0"/>
                      <a:ext cx="2880360" cy="2042868"/>
                    </a:xfrm>
                    <a:prstGeom prst="rect"/>
                  </pic:spPr>
                </pic:pic>
              </a:graphicData>
            </a:graphic>
          </wp:inline>
        </w:drawing>
      </w:r>
    </w:p>
    <w:p>
      <w:pPr>
        <w:spacing w:after="40" w:line="240" w:lineRule="auto"/>
        <w:jc w:val="center"/>
      </w:pPr>
      <w:r>
        <w:rPr>
          <w:rFonts w:ascii="Times New Roman" w:hAnsi="Times New Roman" w:eastAsia="Times New Roman"/>
          <w:b w:val="0"/>
          <w:i/>
          <w:sz w:val="16"/>
        </w:rPr>
        <w:t>Fig. 4. Global feature importance for the selected model.</w:t>
      </w:r>
    </w:p>
    <w:p>
      <w:pPr>
        <w:spacing w:after="40" w:line="240" w:lineRule="auto"/>
        <w:jc w:val="center"/>
      </w:pPr>
      <w:r>
        <w:rPr>
          <w:rFonts w:ascii="Times New Roman" w:hAnsi="Times New Roman" w:eastAsia="Times New Roman"/>
          <w:b/>
          <w:i w:val="0"/>
          <w:sz w:val="20"/>
        </w:rPr>
        <w:t>VI. ABLATION STUDIES / COMPARATIVE STUDIES</w:t>
      </w:r>
    </w:p>
    <w:p>
      <w:pPr>
        <w:spacing w:after="40" w:line="240" w:lineRule="auto"/>
      </w:pPr>
      <w:r>
        <w:rPr>
          <w:rFonts w:ascii="Times New Roman" w:hAnsi="Times New Roman" w:eastAsia="Times New Roman"/>
          <w:b w:val="0"/>
          <w:i w:val="0"/>
          <w:sz w:val="18"/>
        </w:rPr>
        <w:t>The main comparative study was the model comparison in Table II. It showed that the MLP baseline was not the strongest choice for this small tabular dataset; the simpler logistic regression model was better calibrated and easier to interpret.</w:t>
      </w:r>
    </w:p>
    <w:p>
      <w:pPr>
        <w:spacing w:after="40" w:line="240" w:lineRule="auto"/>
      </w:pPr>
      <w:r>
        <w:rPr>
          <w:rFonts w:ascii="Times New Roman" w:hAnsi="Times New Roman" w:eastAsia="Times New Roman"/>
          <w:b w:val="0"/>
          <w:i w:val="0"/>
          <w:sz w:val="18"/>
        </w:rPr>
        <w:t>The duplicate sensitivity study used the secondary heart.csv file. The duplicate-expanded version produced higher apparent performance than the deduplicated version, confirming that duplicate rows can inflate benchmark results.</w:t>
      </w:r>
    </w:p>
    <w:p>
      <w:pPr>
        <w:spacing w:after="40" w:line="240" w:lineRule="auto"/>
        <w:jc w:val="center"/>
      </w:pPr>
      <w:r>
        <w:rPr>
          <w:rFonts w:ascii="Times New Roman" w:hAnsi="Times New Roman" w:eastAsia="Times New Roman"/>
          <w:b w:val="0"/>
          <w:i/>
          <w:sz w:val="16"/>
        </w:rPr>
        <w:t>Table III. Duplicate Sensitivity on Secondary Dataset</w:t>
      </w:r>
    </w:p>
    <w:tbl>
      <w:tblPr>
        <w:tblStyle w:val="TableGrid"/>
        <w:tblW w:type="auto" w:w="0"/>
        <w:jc w:val="center"/>
        <w:tblLook w:firstColumn="1" w:firstRow="1" w:lastColumn="0" w:lastRow="0" w:noHBand="0" w:noVBand="1" w:val="04A0"/>
      </w:tblPr>
      <w:tblGrid>
        <w:gridCol w:w="2007"/>
        <w:gridCol w:w="2007"/>
        <w:gridCol w:w="2007"/>
        <w:gridCol w:w="2007"/>
        <w:gridCol w:w="2007"/>
      </w:tblGrid>
      <w:tr>
        <w:tc>
          <w:tcPr>
            <w:tcW w:type="dxa" w:w="2007"/>
            <w:vAlign w:val="center"/>
          </w:tcPr>
          <w:p>
            <w:pPr>
              <w:jc w:val="center"/>
            </w:pPr>
            <w:r>
              <w:rPr>
                <w:rFonts w:ascii="Times New Roman" w:hAnsi="Times New Roman"/>
                <w:sz w:val="14"/>
              </w:rPr>
              <w:t>Dataset version</w:t>
            </w:r>
          </w:p>
        </w:tc>
        <w:tc>
          <w:tcPr>
            <w:tcW w:type="dxa" w:w="2007"/>
            <w:vAlign w:val="center"/>
          </w:tcPr>
          <w:p>
            <w:pPr>
              <w:jc w:val="center"/>
            </w:pPr>
            <w:r>
              <w:rPr>
                <w:rFonts w:ascii="Times New Roman" w:hAnsi="Times New Roman"/>
                <w:sz w:val="14"/>
              </w:rPr>
              <w:t>AUROC</w:t>
            </w:r>
          </w:p>
        </w:tc>
        <w:tc>
          <w:tcPr>
            <w:tcW w:type="dxa" w:w="2007"/>
            <w:vAlign w:val="center"/>
          </w:tcPr>
          <w:p>
            <w:pPr>
              <w:jc w:val="center"/>
            </w:pPr>
            <w:r>
              <w:rPr>
                <w:rFonts w:ascii="Times New Roman" w:hAnsi="Times New Roman"/>
                <w:sz w:val="14"/>
              </w:rPr>
              <w:t>AUPRC</w:t>
            </w:r>
          </w:p>
        </w:tc>
        <w:tc>
          <w:tcPr>
            <w:tcW w:type="dxa" w:w="2007"/>
            <w:vAlign w:val="center"/>
          </w:tcPr>
          <w:p>
            <w:pPr>
              <w:jc w:val="center"/>
            </w:pPr>
            <w:r>
              <w:rPr>
                <w:rFonts w:ascii="Times New Roman" w:hAnsi="Times New Roman"/>
                <w:sz w:val="14"/>
              </w:rPr>
              <w:t>Bal. Acc.</w:t>
            </w:r>
          </w:p>
        </w:tc>
        <w:tc>
          <w:tcPr>
            <w:tcW w:type="dxa" w:w="2007"/>
            <w:vAlign w:val="center"/>
          </w:tcPr>
          <w:p>
            <w:pPr>
              <w:jc w:val="center"/>
            </w:pPr>
            <w:r>
              <w:rPr>
                <w:rFonts w:ascii="Times New Roman" w:hAnsi="Times New Roman"/>
                <w:sz w:val="14"/>
              </w:rPr>
              <w:t>Brier</w:t>
            </w:r>
          </w:p>
        </w:tc>
      </w:tr>
      <w:tr>
        <w:tc>
          <w:tcPr>
            <w:tcW w:type="dxa" w:w="2007"/>
            <w:vAlign w:val="center"/>
          </w:tcPr>
          <w:p>
            <w:pPr>
              <w:jc w:val="center"/>
            </w:pPr>
            <w:r>
              <w:rPr>
                <w:rFonts w:ascii="Times New Roman" w:hAnsi="Times New Roman"/>
                <w:sz w:val="14"/>
              </w:rPr>
              <w:t>Deduplicated heart.csv</w:t>
            </w:r>
          </w:p>
        </w:tc>
        <w:tc>
          <w:tcPr>
            <w:tcW w:type="dxa" w:w="2007"/>
            <w:vAlign w:val="center"/>
          </w:tcPr>
          <w:p>
            <w:pPr>
              <w:jc w:val="center"/>
            </w:pPr>
            <w:r>
              <w:rPr>
                <w:rFonts w:ascii="Times New Roman" w:hAnsi="Times New Roman"/>
                <w:sz w:val="14"/>
              </w:rPr>
              <w:t>0.909</w:t>
            </w:r>
          </w:p>
        </w:tc>
        <w:tc>
          <w:tcPr>
            <w:tcW w:type="dxa" w:w="2007"/>
            <w:vAlign w:val="center"/>
          </w:tcPr>
          <w:p>
            <w:pPr>
              <w:jc w:val="center"/>
            </w:pPr>
            <w:r>
              <w:rPr>
                <w:rFonts w:ascii="Times New Roman" w:hAnsi="Times New Roman"/>
                <w:sz w:val="14"/>
              </w:rPr>
              <w:t>0.917</w:t>
            </w:r>
          </w:p>
        </w:tc>
        <w:tc>
          <w:tcPr>
            <w:tcW w:type="dxa" w:w="2007"/>
            <w:vAlign w:val="center"/>
          </w:tcPr>
          <w:p>
            <w:pPr>
              <w:jc w:val="center"/>
            </w:pPr>
            <w:r>
              <w:rPr>
                <w:rFonts w:ascii="Times New Roman" w:hAnsi="Times New Roman"/>
                <w:sz w:val="14"/>
              </w:rPr>
              <w:t>0.832</w:t>
            </w:r>
          </w:p>
        </w:tc>
        <w:tc>
          <w:tcPr>
            <w:tcW w:type="dxa" w:w="2007"/>
            <w:vAlign w:val="center"/>
          </w:tcPr>
          <w:p>
            <w:pPr>
              <w:jc w:val="center"/>
            </w:pPr>
            <w:r>
              <w:rPr>
                <w:rFonts w:ascii="Times New Roman" w:hAnsi="Times New Roman"/>
                <w:sz w:val="14"/>
              </w:rPr>
              <w:t>0.125</w:t>
            </w:r>
          </w:p>
        </w:tc>
      </w:tr>
      <w:tr>
        <w:tc>
          <w:tcPr>
            <w:tcW w:type="dxa" w:w="2007"/>
            <w:vAlign w:val="center"/>
          </w:tcPr>
          <w:p>
            <w:pPr>
              <w:jc w:val="center"/>
            </w:pPr>
            <w:r>
              <w:rPr>
                <w:rFonts w:ascii="Times New Roman" w:hAnsi="Times New Roman"/>
                <w:sz w:val="14"/>
              </w:rPr>
              <w:t>Duplicate-expanded heart.csv</w:t>
            </w:r>
          </w:p>
        </w:tc>
        <w:tc>
          <w:tcPr>
            <w:tcW w:type="dxa" w:w="2007"/>
            <w:vAlign w:val="center"/>
          </w:tcPr>
          <w:p>
            <w:pPr>
              <w:jc w:val="center"/>
            </w:pPr>
            <w:r>
              <w:rPr>
                <w:rFonts w:ascii="Times New Roman" w:hAnsi="Times New Roman"/>
                <w:sz w:val="14"/>
              </w:rPr>
              <w:t>0.924</w:t>
            </w:r>
          </w:p>
        </w:tc>
        <w:tc>
          <w:tcPr>
            <w:tcW w:type="dxa" w:w="2007"/>
            <w:vAlign w:val="center"/>
          </w:tcPr>
          <w:p>
            <w:pPr>
              <w:jc w:val="center"/>
            </w:pPr>
            <w:r>
              <w:rPr>
                <w:rFonts w:ascii="Times New Roman" w:hAnsi="Times New Roman"/>
                <w:sz w:val="14"/>
              </w:rPr>
              <w:t>0.926</w:t>
            </w:r>
          </w:p>
        </w:tc>
        <w:tc>
          <w:tcPr>
            <w:tcW w:type="dxa" w:w="2007"/>
            <w:vAlign w:val="center"/>
          </w:tcPr>
          <w:p>
            <w:pPr>
              <w:jc w:val="center"/>
            </w:pPr>
            <w:r>
              <w:rPr>
                <w:rFonts w:ascii="Times New Roman" w:hAnsi="Times New Roman"/>
                <w:sz w:val="14"/>
              </w:rPr>
              <w:t>0.855</w:t>
            </w:r>
          </w:p>
        </w:tc>
        <w:tc>
          <w:tcPr>
            <w:tcW w:type="dxa" w:w="2007"/>
            <w:vAlign w:val="center"/>
          </w:tcPr>
          <w:p>
            <w:pPr>
              <w:jc w:val="center"/>
            </w:pPr>
            <w:r>
              <w:rPr>
                <w:rFonts w:ascii="Times New Roman" w:hAnsi="Times New Roman"/>
                <w:sz w:val="14"/>
              </w:rPr>
              <w:t>0.110</w:t>
            </w:r>
          </w:p>
        </w:tc>
      </w:tr>
    </w:tbl>
    <w:p>
      <w:pPr>
        <w:spacing w:after="40" w:line="240" w:lineRule="auto"/>
        <w:jc w:val="center"/>
      </w:pPr>
      <w:r>
        <w:rPr>
          <w:rFonts w:ascii="Times New Roman" w:hAnsi="Times New Roman" w:eastAsia="Times New Roman"/>
          <w:b/>
          <w:i w:val="0"/>
          <w:sz w:val="20"/>
        </w:rPr>
        <w:t>VII. LOCALHOST APPLICATION</w:t>
      </w:r>
    </w:p>
    <w:p>
      <w:pPr>
        <w:spacing w:after="40" w:line="240" w:lineRule="auto"/>
      </w:pPr>
      <w:r>
        <w:rPr>
          <w:rFonts w:ascii="Times New Roman" w:hAnsi="Times New Roman" w:eastAsia="Times New Roman"/>
          <w:b w:val="0"/>
          <w:i w:val="0"/>
          <w:sz w:val="18"/>
        </w:rPr>
        <w:t>The final model is served through a FastAPI application. The interface has one prediction workflow with a clinical-style input form, probability output, risk category, explanation panel, model metadata, and a research-prototype disclaimer. The app uses the saved preprocessing and model bundle, so predictions in the interface match the trained artifact.</w:t>
      </w:r>
    </w:p>
    <w:p>
      <w:pPr>
        <w:spacing w:after="40" w:line="240" w:lineRule="auto"/>
        <w:jc w:val="center"/>
      </w:pPr>
      <w:r>
        <w:rPr>
          <w:rFonts w:ascii="Times New Roman" w:hAnsi="Times New Roman" w:eastAsia="Times New Roman"/>
          <w:b/>
          <w:i w:val="0"/>
          <w:sz w:val="20"/>
        </w:rPr>
        <w:t>VIII. CONCLUSION AND FUTURE WORK</w:t>
      </w:r>
    </w:p>
    <w:p>
      <w:pPr>
        <w:spacing w:after="40" w:line="240" w:lineRule="auto"/>
      </w:pPr>
      <w:r>
        <w:rPr>
          <w:rFonts w:ascii="Times New Roman" w:hAnsi="Times New Roman" w:eastAsia="Times New Roman"/>
          <w:b w:val="0"/>
          <w:i w:val="0"/>
          <w:sz w:val="18"/>
        </w:rPr>
        <w:t>The project satisfies the ML Lab requirements by combining a clean notebook, reproducible model training, comparative experiments, ablation/sensitivity analysis, figures, tables, and a localhost application. Penalized logistic regression was selected because it had the best balance of calibration, interpretability, and center-aware validation performance. Future work should use larger modern cohorts, independent external validation, fairness analysis, improved missingness modeling, and clinical usability testing. The current project should be presented as a research and educational prototype only.</w:t>
      </w:r>
    </w:p>
    <w:p>
      <w:pPr>
        <w:spacing w:after="40" w:line="240" w:lineRule="auto"/>
        <w:jc w:val="center"/>
      </w:pPr>
      <w:r>
        <w:rPr>
          <w:rFonts w:ascii="Times New Roman" w:hAnsi="Times New Roman" w:eastAsia="Times New Roman"/>
          <w:b/>
          <w:i w:val="0"/>
          <w:sz w:val="20"/>
        </w:rPr>
        <w:t>REFERENCES</w:t>
      </w:r>
    </w:p>
    <w:p>
      <w:pPr>
        <w:spacing w:after="40" w:line="240" w:lineRule="auto"/>
      </w:pPr>
      <w:r>
        <w:rPr>
          <w:rFonts w:ascii="Times New Roman" w:hAnsi="Times New Roman" w:eastAsia="Times New Roman"/>
          <w:b w:val="0"/>
          <w:i w:val="0"/>
          <w:sz w:val="18"/>
        </w:rPr>
        <w:t>[1] G. S. Collins et al., "TRIPOD+AI statement: updated guidance for reporting clinical prediction models that use regression or machine learning methods," BMJ, 2024.</w:t>
      </w:r>
    </w:p>
    <w:p>
      <w:pPr>
        <w:spacing w:after="40" w:line="240" w:lineRule="auto"/>
      </w:pPr>
      <w:r>
        <w:rPr>
          <w:rFonts w:ascii="Times New Roman" w:hAnsi="Times New Roman" w:eastAsia="Times New Roman"/>
          <w:b w:val="0"/>
          <w:i w:val="0"/>
          <w:sz w:val="18"/>
        </w:rPr>
        <w:t>[2] G. S. Collins et al., "PROBAST+AI: an updated quality, risk of bias, and applicability assessment tool for prediction models using regression or artificial intelligence methods," BMJ, 2025.</w:t>
      </w:r>
    </w:p>
    <w:p>
      <w:pPr>
        <w:spacing w:after="40" w:line="240" w:lineRule="auto"/>
      </w:pPr>
      <w:r>
        <w:rPr>
          <w:rFonts w:ascii="Times New Roman" w:hAnsi="Times New Roman" w:eastAsia="Times New Roman"/>
          <w:b w:val="0"/>
          <w:i w:val="0"/>
          <w:sz w:val="18"/>
        </w:rPr>
        <w:t>[3] R. Detrano et al., "International application of a new probability algorithm for the diagnosis of coronary artery disease," American Journal of Cardiology, 1989.</w:t>
      </w:r>
    </w:p>
    <w:p>
      <w:pPr>
        <w:spacing w:after="40" w:line="240" w:lineRule="auto"/>
      </w:pPr>
      <w:r>
        <w:rPr>
          <w:rFonts w:ascii="Times New Roman" w:hAnsi="Times New Roman" w:eastAsia="Times New Roman"/>
          <w:b w:val="0"/>
          <w:i w:val="0"/>
          <w:sz w:val="18"/>
        </w:rPr>
        <w:t>[4] F. Pedregosa et al., "Scikit-learn: Machine Learning in Python," Journal of Machine Learning Research, 2011.</w:t>
      </w:r>
    </w:p>
    <w:p>
      <w:pPr>
        <w:spacing w:after="40" w:line="240" w:lineRule="auto"/>
      </w:pPr>
      <w:r>
        <w:rPr>
          <w:rFonts w:ascii="Times New Roman" w:hAnsi="Times New Roman" w:eastAsia="Times New Roman"/>
          <w:b w:val="0"/>
          <w:i w:val="0"/>
          <w:sz w:val="18"/>
        </w:rPr>
        <w:t>[5] S. M. Lundberg and S.-I. Lee, "A Unified Approach to Interpreting Model Predictions," NeurIPS, 2017.</w:t>
      </w:r>
    </w:p>
    <w:sectPr w:rsidR="00FC693F" w:rsidRPr="0006063C" w:rsidSect="00034616">
      <w:type w:val="continuous"/>
      <w:pgSz w:w="11909" w:h="16834"/>
      <w:pgMar w:top="936" w:right="936" w:bottom="936" w:left="936"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