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Early CVD Prediction Using Clinical Data: A Leakage-Audited and Explainable Machine Learning Study</w:t>
      </w:r>
    </w:p>
    <w:p>
      <w:pPr>
        <w:spacing w:after="40"/>
        <w:jc w:val="center"/>
      </w:pPr>
      <w:r>
        <w:rPr>
          <w:rFonts w:ascii="Times New Roman" w:hAnsi="Times New Roman"/>
          <w:sz w:val="20"/>
        </w:rPr>
        <w:t>Mahmud Rashik</w:t>
      </w:r>
    </w:p>
    <w:p>
      <w:pPr>
        <w:spacing w:after="40"/>
        <w:jc w:val="center"/>
      </w:pPr>
      <w:r>
        <w:rPr>
          <w:rFonts w:ascii="Times New Roman" w:hAnsi="Times New Roman"/>
          <w:sz w:val="20"/>
        </w:rPr>
        <w:t>Department of Computer Science and Engineering, Bangladesh University of Professionals, Dhaka, Bangladesh</w:t>
      </w:r>
    </w:p>
    <w:p>
      <w:pPr>
        <w:spacing w:after="40"/>
        <w:jc w:val="both"/>
      </w:pPr>
      <w:r>
        <w:rPr>
          <w:rFonts w:ascii="Times New Roman" w:hAnsi="Times New Roman"/>
          <w:b/>
          <w:sz w:val="20"/>
        </w:rPr>
        <w:t>Abstract-</w:t>
      </w:r>
      <w:r>
        <w:rPr>
          <w:rFonts w:ascii="Times New Roman" w:hAnsi="Times New Roman"/>
          <w:sz w:val="20"/>
        </w:rPr>
        <w:t>Cardiovascular disease prediction from routine clinical variables is a common machine-learning laboratory problem, but public benchmark studies can overstate performance when duplicate rows, missingness, validation leakage, and calibration are not handled carefully. This project develops Early CVD Prediction as a reproducible and explainable heart-disease prediction workflow using a primary UCI-style multi-center dataset and a secondary heart.csv benchmark. The main binary outcome collapsed num = 1-4 into disease presence and retained num = 0 as disease absence. The primary dataset contained 920 records from Cleveland, Hungary, Switzerland, and VA Long Beach; the secondary file contained 1025 rows but only 302 unique rows after exact deduplication. The main experiment used leave-one-center-out internal-external validation with all preprocessing fitted inside training folds. Penalized logistic regression, random forest, gradient boosting, calibrated gradient boosting, and a multilayer perceptron baseline were compared using discrimination, calibration, threshold behavior, stability, and interpretability. Penalized logistic regression was selected because it achieved a strong overall balance: mean held-out-center AUROC 0.799, AUPRC 0.880, Brier score 0.168, and balanced accuracy 0.745. The work includes a compatible notebook, generated figures and tables, tests, and a FastAPI localhost application with probability and explanation output. The system is a research and educational prototype, not a clinically deployed diagnostic device.</w:t>
      </w:r>
    </w:p>
    <w:p>
      <w:pPr>
        <w:spacing w:after="100"/>
      </w:pPr>
      <w:r>
        <w:rPr>
          <w:rFonts w:ascii="Times New Roman" w:hAnsi="Times New Roman"/>
          <w:b/>
          <w:sz w:val="20"/>
        </w:rPr>
        <w:t>Keywords- cardiovascular disease prediction, heart disease, machine learning, calibration, explainable AI, site-aware validation</w:t>
      </w:r>
    </w:p>
    <w:p>
      <w:pPr>
        <w:sectPr>
          <w:pgSz w:w="11909" w:h="16834"/>
          <w:pgMar w:top="1008" w:right="1008" w:bottom="1008" w:left="1008" w:header="720" w:footer="720" w:gutter="0"/>
          <w:cols w:space="240" w:num="1"/>
          <w:docGrid w:linePitch="360"/>
        </w:sectPr>
      </w:pPr>
    </w:p>
    <w:p>
      <w:pPr>
        <w:spacing w:before="80" w:after="40"/>
        <w:jc w:val="center"/>
      </w:pPr>
      <w:r>
        <w:rPr>
          <w:rFonts w:ascii="Times New Roman" w:hAnsi="Times New Roman"/>
          <w:b/>
          <w:sz w:val="20"/>
        </w:rPr>
        <w:t>I. INTRODUCTION</w:t>
      </w:r>
    </w:p>
    <w:p>
      <w:pPr>
        <w:spacing w:after="40" w:line="240" w:lineRule="auto"/>
        <w:jc w:val="both"/>
      </w:pPr>
      <w:r>
        <w:rPr>
          <w:rFonts w:ascii="Times New Roman" w:hAnsi="Times New Roman" w:eastAsia="Times New Roman"/>
          <w:sz w:val="20"/>
        </w:rPr>
        <w:t>Early prediction of cardiovascular disease (CVD) is important because intervention is more useful when risk is identified before severe clinical events. In machine-learning education, heart-disease prediction is also valuable because the predictors are structured, clinically meaningful, and small enough for transparent analysis. Typical variables include age, sex, chest pain type, resting blood pressure, serum cholesterol, fasting blood sugar, resting electrocardiographic findings, maximum heart rate, exercise-induced angina, ST depression measured as oldpeak, ST slope, major vessels, and thalassemia or stress-test category.</w:t>
      </w:r>
    </w:p>
    <w:p>
      <w:pPr>
        <w:spacing w:after="40" w:line="240" w:lineRule="auto"/>
        <w:jc w:val="both"/>
      </w:pPr>
      <w:r>
        <w:rPr>
          <w:rFonts w:ascii="Times New Roman" w:hAnsi="Times New Roman" w:eastAsia="Times New Roman"/>
          <w:sz w:val="20"/>
        </w:rPr>
        <w:t>The original work for this project began as an exploratory neural-network notebook. A project audit showed that the notebook was useful for motivation and baseline modeling, but it used notebook-only code, a single random split, and a small heart.csv file that did not match the current primary dataset. Therefore, the project was rebuilt around a simpler and more defensible research question: can a leakage-audited, site-aware, explainable pipeline provide a reliable benchmark for binary heart-disease prediction using public tabular clinical data?</w:t>
      </w:r>
    </w:p>
    <w:p>
      <w:pPr>
        <w:spacing w:after="40" w:line="240" w:lineRule="auto"/>
        <w:jc w:val="both"/>
      </w:pPr>
      <w:r>
        <w:rPr>
          <w:rFonts w:ascii="Times New Roman" w:hAnsi="Times New Roman" w:eastAsia="Times New Roman"/>
          <w:sz w:val="20"/>
        </w:rPr>
        <w:t>The contribution of this work is not a claim of clinical deployment readiness. Instead, the contribution is a complete ML Lab project that connects notebook research with reproducible software: data audit, duplicate analysis, leakage control, fold-contained preprocessing, center-aware validation, model comparison, calibration-aware selection, explainability, a localhost application, and a concise IEEE-style report generated from experiment artifacts.</w:t>
      </w:r>
    </w:p>
    <w:p>
      <w:pPr>
        <w:spacing w:before="80" w:after="40"/>
        <w:jc w:val="center"/>
      </w:pPr>
      <w:r>
        <w:rPr>
          <w:rFonts w:ascii="Times New Roman" w:hAnsi="Times New Roman"/>
          <w:b/>
          <w:sz w:val="20"/>
        </w:rPr>
        <w:t>II. LITERATURE REVIEW</w:t>
      </w:r>
    </w:p>
    <w:p>
      <w:pPr>
        <w:spacing w:after="40" w:line="240" w:lineRule="auto"/>
        <w:jc w:val="both"/>
      </w:pPr>
      <w:r>
        <w:rPr>
          <w:rFonts w:ascii="Times New Roman" w:hAnsi="Times New Roman" w:eastAsia="Times New Roman"/>
          <w:sz w:val="20"/>
        </w:rPr>
        <w:t>Recent literature shows strong interest in ML-based CVD prediction, especially with routine electronic health records and tabular clinical features. Systematic reviews and meta-analyses report that random forests, boosting models, support-vector machines, neural networks, and custom ML models can improve discrimination over some conventional scores in selected settings [1]-[3]. However, the same literature repeatedly warns that performance estimates vary substantially across cohorts, outcome definitions, validation strategies, and reporting quality. This is why the present project reports both discrimination and calibration and avoids presenting one random split as external validation.</w:t>
      </w:r>
    </w:p>
    <w:p>
      <w:pPr>
        <w:spacing w:after="40" w:line="240" w:lineRule="auto"/>
        <w:jc w:val="both"/>
      </w:pPr>
      <w:r>
        <w:rPr>
          <w:rFonts w:ascii="Times New Roman" w:hAnsi="Times New Roman" w:eastAsia="Times New Roman"/>
          <w:sz w:val="20"/>
        </w:rPr>
        <w:t>A second direction uses structured clinical datasets such as Cleveland, Hungarian, Statlog, and merged UCI-style heart-disease data. These studies often combine feature engineering or feature selection with ensemble classifiers and report high accuracy [4], [6], [7]. Such results are useful benchmarks, but public heart-disease datasets are small and sometimes duplicated or reprocessed. This project therefore audits the supplied files directly, treats the UCI-style multi-center file as primary, and treats heart.csv only as a supplementary benchmark after deduplication.</w:t>
      </w:r>
    </w:p>
    <w:p>
      <w:pPr>
        <w:spacing w:after="40" w:line="240" w:lineRule="auto"/>
        <w:jc w:val="both"/>
      </w:pPr>
      <w:r>
        <w:rPr>
          <w:rFonts w:ascii="Times New Roman" w:hAnsi="Times New Roman" w:eastAsia="Times New Roman"/>
          <w:sz w:val="20"/>
        </w:rPr>
        <w:t>A third direction emphasizes ensembles, boosting, and recent deep tabular methods. Hybrid ensembles, stacking models, CatBoost or XGBoost-style learners, and transformer-inspired tabular models have been proposed for early CVD or heart-disease prediction [8]-[10]. These methods motivate the comparison of several model families rather than assuming that the neural network baseline is best. In this project, the final model is selected by balanced evidence across AUROC, AUPRC, Brier score, calibration slope, center stability, and interpretability.</w:t>
      </w:r>
    </w:p>
    <w:p>
      <w:pPr>
        <w:spacing w:after="40" w:line="240" w:lineRule="auto"/>
        <w:jc w:val="both"/>
      </w:pPr>
      <w:r>
        <w:rPr>
          <w:rFonts w:ascii="Times New Roman" w:hAnsi="Times New Roman" w:eastAsia="Times New Roman"/>
          <w:sz w:val="20"/>
        </w:rPr>
        <w:t>Explainable AI is increasingly used in CVD prediction, often through SHAP and LIME, to show which clinical variables influence predictions [8], [9], [13]. Explanations are valuable for checking plausibility but should not be confused with causal evidence, especially when clinical variables are correlated. This project therefore uses explanation output as a model-audit and communication tool, not as proof that a variable biologically causes the outcome.</w:t>
      </w:r>
    </w:p>
    <w:p>
      <w:pPr>
        <w:spacing w:before="40" w:after="40"/>
      </w:pPr>
      <w:r>
        <w:rPr>
          <w:rFonts w:ascii="Times New Roman" w:hAnsi="Times New Roman"/>
          <w:b/>
          <w:sz w:val="20"/>
        </w:rPr>
        <w:t>Table I. Literature Review Synthesis and Project Use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42"/>
        <w:gridCol w:w="3442"/>
        <w:gridCol w:w="3442"/>
      </w:tblGrid>
      <w:tr>
        <w:tc>
          <w:tcPr>
            <w:tcW w:type="dxa" w:w="3442"/>
            <w:vAlign w:val="top"/>
          </w:tcPr>
          <w:p>
            <w:pPr>
              <w:spacing w:after="0" w:line="240" w:lineRule="auto"/>
            </w:pPr>
            <w:r/>
            <w:r>
              <w:rPr>
                <w:rFonts w:ascii="Times New Roman" w:hAnsi="Times New Roman" w:eastAsia="Times New Roman"/>
                <w:b/>
                <w:sz w:val="15"/>
              </w:rPr>
              <w:t>Direction</w:t>
            </w:r>
          </w:p>
        </w:tc>
        <w:tc>
          <w:tcPr>
            <w:tcW w:type="dxa" w:w="3442"/>
            <w:vAlign w:val="top"/>
          </w:tcPr>
          <w:p>
            <w:pPr>
              <w:spacing w:after="0" w:line="240" w:lineRule="auto"/>
            </w:pPr>
            <w:r/>
            <w:r>
              <w:rPr>
                <w:rFonts w:ascii="Times New Roman" w:hAnsi="Times New Roman" w:eastAsia="Times New Roman"/>
                <w:b/>
                <w:sz w:val="15"/>
              </w:rPr>
              <w:t>Finding</w:t>
            </w:r>
          </w:p>
        </w:tc>
        <w:tc>
          <w:tcPr>
            <w:tcW w:type="dxa" w:w="3442"/>
            <w:vAlign w:val="top"/>
          </w:tcPr>
          <w:p>
            <w:pPr>
              <w:spacing w:after="0" w:line="240" w:lineRule="auto"/>
            </w:pPr>
            <w:r/>
            <w:r>
              <w:rPr>
                <w:rFonts w:ascii="Times New Roman" w:hAnsi="Times New Roman" w:eastAsia="Times New Roman"/>
                <w:b/>
                <w:sz w:val="15"/>
              </w:rPr>
              <w:t>Project Use</w:t>
            </w:r>
          </w:p>
        </w:tc>
      </w:tr>
      <w:tr>
        <w:tc>
          <w:tcPr>
            <w:tcW w:type="dxa" w:w="3442"/>
            <w:vAlign w:val="top"/>
          </w:tcPr>
          <w:p>
            <w:pPr>
              <w:spacing w:after="0" w:line="240" w:lineRule="auto"/>
            </w:pPr>
            <w:r/>
            <w:r>
              <w:rPr>
                <w:rFonts w:ascii="Times New Roman" w:hAnsi="Times New Roman" w:eastAsia="Times New Roman"/>
                <w:b w:val="0"/>
                <w:sz w:val="15"/>
              </w:rPr>
              <w:t>EHR and cohort evidence</w:t>
            </w:r>
          </w:p>
        </w:tc>
        <w:tc>
          <w:tcPr>
            <w:tcW w:type="dxa" w:w="3442"/>
            <w:vAlign w:val="top"/>
          </w:tcPr>
          <w:p>
            <w:pPr>
              <w:spacing w:after="0" w:line="240" w:lineRule="auto"/>
            </w:pPr>
            <w:r/>
            <w:r>
              <w:rPr>
                <w:rFonts w:ascii="Times New Roman" w:hAnsi="Times New Roman" w:eastAsia="Times New Roman"/>
                <w:b w:val="0"/>
                <w:sz w:val="15"/>
              </w:rPr>
              <w:t>Systematic reviews and meta-analyses report that ML can improve CVD risk discrimination, while validation quality and heterogeneity remain concerns [1]-[3].</w:t>
            </w:r>
          </w:p>
        </w:tc>
        <w:tc>
          <w:tcPr>
            <w:tcW w:type="dxa" w:w="3442"/>
            <w:vAlign w:val="top"/>
          </w:tcPr>
          <w:p>
            <w:pPr>
              <w:spacing w:after="0" w:line="240" w:lineRule="auto"/>
            </w:pPr>
            <w:r/>
            <w:r>
              <w:rPr>
                <w:rFonts w:ascii="Times New Roman" w:hAnsi="Times New Roman" w:eastAsia="Times New Roman"/>
                <w:b w:val="0"/>
                <w:sz w:val="15"/>
              </w:rPr>
              <w:t>Report discrimination, calibration, and limitations rather than accuracy alone.</w:t>
            </w:r>
          </w:p>
        </w:tc>
      </w:tr>
      <w:tr>
        <w:tc>
          <w:tcPr>
            <w:tcW w:type="dxa" w:w="3442"/>
            <w:vAlign w:val="top"/>
          </w:tcPr>
          <w:p>
            <w:pPr>
              <w:spacing w:after="0" w:line="240" w:lineRule="auto"/>
            </w:pPr>
            <w:r/>
            <w:r>
              <w:rPr>
                <w:rFonts w:ascii="Times New Roman" w:hAnsi="Times New Roman" w:eastAsia="Times New Roman"/>
                <w:b w:val="0"/>
                <w:sz w:val="15"/>
              </w:rPr>
              <w:t>Tabular clinical datasets</w:t>
            </w:r>
          </w:p>
        </w:tc>
        <w:tc>
          <w:tcPr>
            <w:tcW w:type="dxa" w:w="3442"/>
            <w:vAlign w:val="top"/>
          </w:tcPr>
          <w:p>
            <w:pPr>
              <w:spacing w:after="0" w:line="240" w:lineRule="auto"/>
            </w:pPr>
            <w:r/>
            <w:r>
              <w:rPr>
                <w:rFonts w:ascii="Times New Roman" w:hAnsi="Times New Roman" w:eastAsia="Times New Roman"/>
                <w:b w:val="0"/>
                <w:sz w:val="15"/>
              </w:rPr>
              <w:t>UCI-style studies commonly use age, chest pain, blood pressure, cholesterol, ECG, exercise angina, oldpeak, slope, vessels, and thal variables [4], [6], [7].</w:t>
            </w:r>
          </w:p>
        </w:tc>
        <w:tc>
          <w:tcPr>
            <w:tcW w:type="dxa" w:w="3442"/>
            <w:vAlign w:val="top"/>
          </w:tcPr>
          <w:p>
            <w:pPr>
              <w:spacing w:after="0" w:line="240" w:lineRule="auto"/>
            </w:pPr>
            <w:r/>
            <w:r>
              <w:rPr>
                <w:rFonts w:ascii="Times New Roman" w:hAnsi="Times New Roman" w:eastAsia="Times New Roman"/>
                <w:b w:val="0"/>
                <w:sz w:val="15"/>
              </w:rPr>
              <w:t>Use a canonical clinical feature dictionary and keep interpretable predictors.</w:t>
            </w:r>
          </w:p>
        </w:tc>
      </w:tr>
      <w:tr>
        <w:tc>
          <w:tcPr>
            <w:tcW w:type="dxa" w:w="3442"/>
            <w:vAlign w:val="top"/>
          </w:tcPr>
          <w:p>
            <w:pPr>
              <w:spacing w:after="0" w:line="240" w:lineRule="auto"/>
            </w:pPr>
            <w:r/>
            <w:r>
              <w:rPr>
                <w:rFonts w:ascii="Times New Roman" w:hAnsi="Times New Roman" w:eastAsia="Times New Roman"/>
                <w:b w:val="0"/>
                <w:sz w:val="15"/>
              </w:rPr>
              <w:t>Ensembles and boosting</w:t>
            </w:r>
          </w:p>
        </w:tc>
        <w:tc>
          <w:tcPr>
            <w:tcW w:type="dxa" w:w="3442"/>
            <w:vAlign w:val="top"/>
          </w:tcPr>
          <w:p>
            <w:pPr>
              <w:spacing w:after="0" w:line="240" w:lineRule="auto"/>
            </w:pPr>
            <w:r/>
            <w:r>
              <w:rPr>
                <w:rFonts w:ascii="Times New Roman" w:hAnsi="Times New Roman" w:eastAsia="Times New Roman"/>
                <w:b w:val="0"/>
                <w:sz w:val="15"/>
              </w:rPr>
              <w:t>Recent work frequently reports strong performance for random forests, boosting, stacking, and transformer-assisted tabular models [8]-[10].</w:t>
            </w:r>
          </w:p>
        </w:tc>
        <w:tc>
          <w:tcPr>
            <w:tcW w:type="dxa" w:w="3442"/>
            <w:vAlign w:val="top"/>
          </w:tcPr>
          <w:p>
            <w:pPr>
              <w:spacing w:after="0" w:line="240" w:lineRule="auto"/>
            </w:pPr>
            <w:r/>
            <w:r>
              <w:rPr>
                <w:rFonts w:ascii="Times New Roman" w:hAnsi="Times New Roman" w:eastAsia="Times New Roman"/>
                <w:b w:val="0"/>
                <w:sz w:val="15"/>
              </w:rPr>
              <w:t>Compare stronger tabular learners against the neural-network baseline.</w:t>
            </w:r>
          </w:p>
        </w:tc>
      </w:tr>
      <w:tr>
        <w:tc>
          <w:tcPr>
            <w:tcW w:type="dxa" w:w="3442"/>
            <w:vAlign w:val="top"/>
          </w:tcPr>
          <w:p>
            <w:pPr>
              <w:spacing w:after="0" w:line="240" w:lineRule="auto"/>
            </w:pPr>
            <w:r/>
            <w:r>
              <w:rPr>
                <w:rFonts w:ascii="Times New Roman" w:hAnsi="Times New Roman" w:eastAsia="Times New Roman"/>
                <w:b w:val="0"/>
                <w:sz w:val="15"/>
              </w:rPr>
              <w:t>Explainability</w:t>
            </w:r>
          </w:p>
        </w:tc>
        <w:tc>
          <w:tcPr>
            <w:tcW w:type="dxa" w:w="3442"/>
            <w:vAlign w:val="top"/>
          </w:tcPr>
          <w:p>
            <w:pPr>
              <w:spacing w:after="0" w:line="240" w:lineRule="auto"/>
            </w:pPr>
            <w:r/>
            <w:r>
              <w:rPr>
                <w:rFonts w:ascii="Times New Roman" w:hAnsi="Times New Roman" w:eastAsia="Times New Roman"/>
                <w:b w:val="0"/>
                <w:sz w:val="15"/>
              </w:rPr>
              <w:t>SHAP and related explanation methods are widely used for clinical ML transparency, but explanations require caution under correlated features [8], [9], [13].</w:t>
            </w:r>
          </w:p>
        </w:tc>
        <w:tc>
          <w:tcPr>
            <w:tcW w:type="dxa" w:w="3442"/>
            <w:vAlign w:val="top"/>
          </w:tcPr>
          <w:p>
            <w:pPr>
              <w:spacing w:after="0" w:line="240" w:lineRule="auto"/>
            </w:pPr>
            <w:r/>
            <w:r>
              <w:rPr>
                <w:rFonts w:ascii="Times New Roman" w:hAnsi="Times New Roman" w:eastAsia="Times New Roman"/>
                <w:b w:val="0"/>
                <w:sz w:val="15"/>
              </w:rPr>
              <w:t>Provide global and local explanations without causal claims.</w:t>
            </w:r>
          </w:p>
        </w:tc>
      </w:tr>
      <w:tr>
        <w:tc>
          <w:tcPr>
            <w:tcW w:type="dxa" w:w="3442"/>
            <w:vAlign w:val="top"/>
          </w:tcPr>
          <w:p>
            <w:pPr>
              <w:spacing w:after="0" w:line="240" w:lineRule="auto"/>
            </w:pPr>
            <w:r/>
            <w:r>
              <w:rPr>
                <w:rFonts w:ascii="Times New Roman" w:hAnsi="Times New Roman" w:eastAsia="Times New Roman"/>
                <w:b w:val="0"/>
                <w:sz w:val="15"/>
              </w:rPr>
              <w:t>Reporting standards</w:t>
            </w:r>
          </w:p>
        </w:tc>
        <w:tc>
          <w:tcPr>
            <w:tcW w:type="dxa" w:w="3442"/>
            <w:vAlign w:val="top"/>
          </w:tcPr>
          <w:p>
            <w:pPr>
              <w:spacing w:after="0" w:line="240" w:lineRule="auto"/>
            </w:pPr>
            <w:r/>
            <w:r>
              <w:rPr>
                <w:rFonts w:ascii="Times New Roman" w:hAnsi="Times New Roman" w:eastAsia="Times New Roman"/>
                <w:b w:val="0"/>
                <w:sz w:val="15"/>
              </w:rPr>
              <w:t>TRIPOD+AI and PROBAST+AI emphasize transparent preprocessing, validation, calibration, and risk-of-bias assessment [11], [12].</w:t>
            </w:r>
          </w:p>
        </w:tc>
        <w:tc>
          <w:tcPr>
            <w:tcW w:type="dxa" w:w="3442"/>
            <w:vAlign w:val="top"/>
          </w:tcPr>
          <w:p>
            <w:pPr>
              <w:spacing w:after="0" w:line="240" w:lineRule="auto"/>
            </w:pPr>
            <w:r/>
            <w:r>
              <w:rPr>
                <w:rFonts w:ascii="Times New Roman" w:hAnsi="Times New Roman" w:eastAsia="Times New Roman"/>
                <w:b w:val="0"/>
                <w:sz w:val="15"/>
              </w:rPr>
              <w:t>Use leakage-safe pipelines, site-aware validation, and explicit dataset limitations.</w:t>
            </w:r>
          </w:p>
        </w:tc>
      </w:tr>
    </w:tbl>
    <w:p>
      <w:pPr>
        <w:spacing w:before="80" w:after="40"/>
        <w:jc w:val="center"/>
      </w:pPr>
      <w:r>
        <w:rPr>
          <w:rFonts w:ascii="Times New Roman" w:hAnsi="Times New Roman"/>
          <w:b/>
          <w:sz w:val="20"/>
        </w:rPr>
        <w:t>III. METHODOLOGY</w:t>
      </w:r>
    </w:p>
    <w:p>
      <w:pPr>
        <w:spacing w:after="40" w:line="240" w:lineRule="auto"/>
        <w:jc w:val="both"/>
      </w:pPr>
      <w:r>
        <w:rPr>
          <w:rFonts w:ascii="Times New Roman" w:hAnsi="Times New Roman" w:eastAsia="Times New Roman"/>
          <w:sz w:val="20"/>
        </w:rPr>
        <w:t>The primary dataset was heart_disease_uci.csv. The target variable was converted to a binary label: num = 0 represented absence of recorded disease and num &gt; 0 represented disease presence. The center or hospital source was retained for validation grouping but excluded from the predictor set. This design supports internal-external validation: each center is held out once to approximate a new-site test while the remaining centers are used for development.</w:t>
      </w:r>
    </w:p>
    <w:p>
      <w:pPr>
        <w:spacing w:after="40" w:line="240" w:lineRule="auto"/>
        <w:jc w:val="both"/>
      </w:pPr>
      <w:r>
        <w:rPr>
          <w:rFonts w:ascii="Times New Roman" w:hAnsi="Times New Roman" w:eastAsia="Times New Roman"/>
          <w:sz w:val="20"/>
        </w:rPr>
        <w:t>The secondary dataset was heart.csv. It was not assumed to be clean. Exact duplicate analysis found 723 duplicate rows, leaving 302 unique records. Because this file does not contain a center variable and has heavy row duplication, it was used only for supplementary benchmarking and duplicate sensitivity analysis.</w:t>
      </w:r>
    </w:p>
    <w:p>
      <w:pPr>
        <w:spacing w:after="40" w:line="240" w:lineRule="auto"/>
        <w:jc w:val="both"/>
      </w:pPr>
      <w:r>
        <w:rPr>
          <w:rFonts w:ascii="Times New Roman" w:hAnsi="Times New Roman" w:eastAsia="Times New Roman"/>
          <w:sz w:val="20"/>
        </w:rPr>
        <w:t>The feature schema was standardized across files. Naming differences such as thalach and thalch, and target and num, were handled through a canonical dictionary. Numeric predictors were median-imputed and standardized. Categorical predictors were imputed with the most frequent value and one-hot encoded. All preprocessing was inside scikit-learn pipelines so imputation, scaling, encoding, and model fitting were learned only from training folds. This is the central leakage-control decision in the project.</w:t>
      </w:r>
    </w:p>
    <w:p>
      <w:pPr>
        <w:spacing w:after="40" w:line="240" w:lineRule="auto"/>
        <w:jc w:val="both"/>
      </w:pPr>
      <w:r>
        <w:rPr>
          <w:rFonts w:ascii="Times New Roman" w:hAnsi="Times New Roman" w:eastAsia="Times New Roman"/>
          <w:sz w:val="20"/>
        </w:rPr>
        <w:t>Five model families were evaluated: penalized logistic regression, random forest, gradient boosting, calibrated gradient boosting, and a multilayer perceptron baseline preserving the direction of the original neural-network notebook. The final selection principle was methodological rather than cosmetic: accuracy alone could not determine the champion model. A model was preferred only if it showed a balanced profile across discrimination, calibration, stability, interpretability, and suitability for a small tabular clinical dataset.</w:t>
      </w:r>
    </w:p>
    <w:p>
      <w:pPr>
        <w:spacing w:after="40" w:line="240" w:lineRule="auto"/>
        <w:jc w:val="both"/>
      </w:pPr>
      <w:r>
        <w:rPr>
          <w:rFonts w:ascii="Times New Roman" w:hAnsi="Times New Roman" w:eastAsia="Times New Roman"/>
          <w:sz w:val="20"/>
        </w:rPr>
        <w:t>The localhost application uses FastAPI with Pydantic validation and a lightweight integrated HTML interface. This choice keeps the project simple for submission and presentation while still providing automatic API documentation. The public workflow uses one clinical input form, reports calibrated probability and risk category, displays important feature contributions, and includes a research-prototype disclaimer.</w:t>
      </w:r>
    </w:p>
    <w:p>
      <w:pPr>
        <w:spacing w:before="40" w:after="40"/>
      </w:pPr>
      <w:r>
        <w:rPr>
          <w:rFonts w:ascii="Times New Roman" w:hAnsi="Times New Roman"/>
          <w:b/>
          <w:sz w:val="20"/>
        </w:rPr>
        <w:t>Table II. Dataset Audit Summary</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1"/>
        <w:gridCol w:w="1721"/>
        <w:gridCol w:w="1721"/>
        <w:gridCol w:w="1721"/>
        <w:gridCol w:w="1721"/>
        <w:gridCol w:w="1721"/>
      </w:tblGrid>
      <w:tr>
        <w:tc>
          <w:tcPr>
            <w:tcW w:type="dxa" w:w="1721"/>
            <w:vAlign w:val="top"/>
          </w:tcPr>
          <w:p>
            <w:pPr>
              <w:spacing w:after="0" w:line="240" w:lineRule="auto"/>
            </w:pPr>
            <w:r/>
            <w:r>
              <w:rPr>
                <w:rFonts w:ascii="Times New Roman" w:hAnsi="Times New Roman" w:eastAsia="Times New Roman"/>
                <w:b/>
                <w:sz w:val="15"/>
              </w:rPr>
              <w:t>Role</w:t>
            </w:r>
          </w:p>
        </w:tc>
        <w:tc>
          <w:tcPr>
            <w:tcW w:type="dxa" w:w="1721"/>
            <w:vAlign w:val="top"/>
          </w:tcPr>
          <w:p>
            <w:pPr>
              <w:spacing w:after="0" w:line="240" w:lineRule="auto"/>
            </w:pPr>
            <w:r/>
            <w:r>
              <w:rPr>
                <w:rFonts w:ascii="Times New Roman" w:hAnsi="Times New Roman" w:eastAsia="Times New Roman"/>
                <w:b/>
                <w:sz w:val="15"/>
              </w:rPr>
              <w:t>Dataset</w:t>
            </w:r>
          </w:p>
        </w:tc>
        <w:tc>
          <w:tcPr>
            <w:tcW w:type="dxa" w:w="1721"/>
            <w:vAlign w:val="top"/>
          </w:tcPr>
          <w:p>
            <w:pPr>
              <w:spacing w:after="0" w:line="240" w:lineRule="auto"/>
            </w:pPr>
            <w:r/>
            <w:r>
              <w:rPr>
                <w:rFonts w:ascii="Times New Roman" w:hAnsi="Times New Roman" w:eastAsia="Times New Roman"/>
                <w:b/>
                <w:sz w:val="15"/>
              </w:rPr>
              <w:t>Rows</w:t>
            </w:r>
          </w:p>
        </w:tc>
        <w:tc>
          <w:tcPr>
            <w:tcW w:type="dxa" w:w="1721"/>
            <w:vAlign w:val="top"/>
          </w:tcPr>
          <w:p>
            <w:pPr>
              <w:spacing w:after="0" w:line="240" w:lineRule="auto"/>
            </w:pPr>
            <w:r/>
            <w:r>
              <w:rPr>
                <w:rFonts w:ascii="Times New Roman" w:hAnsi="Times New Roman" w:eastAsia="Times New Roman"/>
                <w:b/>
                <w:sz w:val="15"/>
              </w:rPr>
              <w:t>Grouping</w:t>
            </w:r>
          </w:p>
        </w:tc>
        <w:tc>
          <w:tcPr>
            <w:tcW w:type="dxa" w:w="1721"/>
            <w:vAlign w:val="top"/>
          </w:tcPr>
          <w:p>
            <w:pPr>
              <w:spacing w:after="0" w:line="240" w:lineRule="auto"/>
            </w:pPr>
            <w:r/>
            <w:r>
              <w:rPr>
                <w:rFonts w:ascii="Times New Roman" w:hAnsi="Times New Roman" w:eastAsia="Times New Roman"/>
                <w:b/>
                <w:sz w:val="15"/>
              </w:rPr>
              <w:t>Finding</w:t>
            </w:r>
          </w:p>
        </w:tc>
        <w:tc>
          <w:tcPr>
            <w:tcW w:type="dxa" w:w="1721"/>
            <w:vAlign w:val="top"/>
          </w:tcPr>
          <w:p>
            <w:pPr>
              <w:spacing w:after="0" w:line="240" w:lineRule="auto"/>
            </w:pPr>
            <w:r/>
            <w:r>
              <w:rPr>
                <w:rFonts w:ascii="Times New Roman" w:hAnsi="Times New Roman" w:eastAsia="Times New Roman"/>
                <w:b/>
                <w:sz w:val="15"/>
              </w:rPr>
              <w:t>Use</w:t>
            </w:r>
          </w:p>
        </w:tc>
      </w:tr>
      <w:tr>
        <w:tc>
          <w:tcPr>
            <w:tcW w:type="dxa" w:w="1721"/>
            <w:vAlign w:val="top"/>
          </w:tcPr>
          <w:p>
            <w:pPr>
              <w:spacing w:after="0" w:line="240" w:lineRule="auto"/>
            </w:pPr>
            <w:r/>
            <w:r>
              <w:rPr>
                <w:rFonts w:ascii="Times New Roman" w:hAnsi="Times New Roman" w:eastAsia="Times New Roman"/>
                <w:b w:val="0"/>
                <w:sz w:val="15"/>
              </w:rPr>
              <w:t>Primary</w:t>
            </w:r>
          </w:p>
        </w:tc>
        <w:tc>
          <w:tcPr>
            <w:tcW w:type="dxa" w:w="1721"/>
            <w:vAlign w:val="top"/>
          </w:tcPr>
          <w:p>
            <w:pPr>
              <w:spacing w:after="0" w:line="240" w:lineRule="auto"/>
            </w:pPr>
            <w:r/>
            <w:r>
              <w:rPr>
                <w:rFonts w:ascii="Times New Roman" w:hAnsi="Times New Roman" w:eastAsia="Times New Roman"/>
                <w:b w:val="0"/>
                <w:sz w:val="15"/>
              </w:rPr>
              <w:t>heart_disease_uci.csv</w:t>
            </w:r>
          </w:p>
        </w:tc>
        <w:tc>
          <w:tcPr>
            <w:tcW w:type="dxa" w:w="1721"/>
            <w:vAlign w:val="top"/>
          </w:tcPr>
          <w:p>
            <w:pPr>
              <w:spacing w:after="0" w:line="240" w:lineRule="auto"/>
            </w:pPr>
            <w:r/>
            <w:r>
              <w:rPr>
                <w:rFonts w:ascii="Times New Roman" w:hAnsi="Times New Roman" w:eastAsia="Times New Roman"/>
                <w:b w:val="0"/>
                <w:sz w:val="15"/>
              </w:rPr>
              <w:t>920</w:t>
            </w:r>
          </w:p>
        </w:tc>
        <w:tc>
          <w:tcPr>
            <w:tcW w:type="dxa" w:w="1721"/>
            <w:vAlign w:val="top"/>
          </w:tcPr>
          <w:p>
            <w:pPr>
              <w:spacing w:after="0" w:line="240" w:lineRule="auto"/>
            </w:pPr>
            <w:r/>
            <w:r>
              <w:rPr>
                <w:rFonts w:ascii="Times New Roman" w:hAnsi="Times New Roman" w:eastAsia="Times New Roman"/>
                <w:b w:val="0"/>
                <w:sz w:val="15"/>
              </w:rPr>
              <w:t>4 centers</w:t>
            </w:r>
          </w:p>
        </w:tc>
        <w:tc>
          <w:tcPr>
            <w:tcW w:type="dxa" w:w="1721"/>
            <w:vAlign w:val="top"/>
          </w:tcPr>
          <w:p>
            <w:pPr>
              <w:spacing w:after="0" w:line="240" w:lineRule="auto"/>
            </w:pPr>
            <w:r/>
            <w:r>
              <w:rPr>
                <w:rFonts w:ascii="Times New Roman" w:hAnsi="Times New Roman" w:eastAsia="Times New Roman"/>
                <w:b w:val="0"/>
                <w:sz w:val="15"/>
              </w:rPr>
              <w:t>411 absent / 509 present</w:t>
            </w:r>
          </w:p>
        </w:tc>
        <w:tc>
          <w:tcPr>
            <w:tcW w:type="dxa" w:w="1721"/>
            <w:vAlign w:val="top"/>
          </w:tcPr>
          <w:p>
            <w:pPr>
              <w:spacing w:after="0" w:line="240" w:lineRule="auto"/>
            </w:pPr>
            <w:r/>
            <w:r>
              <w:rPr>
                <w:rFonts w:ascii="Times New Roman" w:hAnsi="Times New Roman" w:eastAsia="Times New Roman"/>
                <w:b w:val="0"/>
                <w:sz w:val="15"/>
              </w:rPr>
              <w:t>Main site-aware experiment</w:t>
            </w:r>
          </w:p>
        </w:tc>
      </w:tr>
      <w:tr>
        <w:tc>
          <w:tcPr>
            <w:tcW w:type="dxa" w:w="1721"/>
            <w:vAlign w:val="top"/>
          </w:tcPr>
          <w:p>
            <w:pPr>
              <w:spacing w:after="0" w:line="240" w:lineRule="auto"/>
            </w:pPr>
            <w:r/>
            <w:r>
              <w:rPr>
                <w:rFonts w:ascii="Times New Roman" w:hAnsi="Times New Roman" w:eastAsia="Times New Roman"/>
                <w:b w:val="0"/>
                <w:sz w:val="15"/>
              </w:rPr>
              <w:t>Supplementary</w:t>
            </w:r>
          </w:p>
        </w:tc>
        <w:tc>
          <w:tcPr>
            <w:tcW w:type="dxa" w:w="1721"/>
            <w:vAlign w:val="top"/>
          </w:tcPr>
          <w:p>
            <w:pPr>
              <w:spacing w:after="0" w:line="240" w:lineRule="auto"/>
            </w:pPr>
            <w:r/>
            <w:r>
              <w:rPr>
                <w:rFonts w:ascii="Times New Roman" w:hAnsi="Times New Roman" w:eastAsia="Times New Roman"/>
                <w:b w:val="0"/>
                <w:sz w:val="15"/>
              </w:rPr>
              <w:t>heart.csv</w:t>
            </w:r>
          </w:p>
        </w:tc>
        <w:tc>
          <w:tcPr>
            <w:tcW w:type="dxa" w:w="1721"/>
            <w:vAlign w:val="top"/>
          </w:tcPr>
          <w:p>
            <w:pPr>
              <w:spacing w:after="0" w:line="240" w:lineRule="auto"/>
            </w:pPr>
            <w:r/>
            <w:r>
              <w:rPr>
                <w:rFonts w:ascii="Times New Roman" w:hAnsi="Times New Roman" w:eastAsia="Times New Roman"/>
                <w:b w:val="0"/>
                <w:sz w:val="15"/>
              </w:rPr>
              <w:t>1025</w:t>
            </w:r>
          </w:p>
        </w:tc>
        <w:tc>
          <w:tcPr>
            <w:tcW w:type="dxa" w:w="1721"/>
            <w:vAlign w:val="top"/>
          </w:tcPr>
          <w:p>
            <w:pPr>
              <w:spacing w:after="0" w:line="240" w:lineRule="auto"/>
            </w:pPr>
            <w:r/>
            <w:r>
              <w:rPr>
                <w:rFonts w:ascii="Times New Roman" w:hAnsi="Times New Roman" w:eastAsia="Times New Roman"/>
                <w:b w:val="0"/>
                <w:sz w:val="15"/>
              </w:rPr>
              <w:t>No center field</w:t>
            </w:r>
          </w:p>
        </w:tc>
        <w:tc>
          <w:tcPr>
            <w:tcW w:type="dxa" w:w="1721"/>
            <w:vAlign w:val="top"/>
          </w:tcPr>
          <w:p>
            <w:pPr>
              <w:spacing w:after="0" w:line="240" w:lineRule="auto"/>
            </w:pPr>
            <w:r/>
            <w:r>
              <w:rPr>
                <w:rFonts w:ascii="Times New Roman" w:hAnsi="Times New Roman" w:eastAsia="Times New Roman"/>
                <w:b w:val="0"/>
                <w:sz w:val="15"/>
              </w:rPr>
              <w:t>302 unique; 723 exact duplicates</w:t>
            </w:r>
          </w:p>
        </w:tc>
        <w:tc>
          <w:tcPr>
            <w:tcW w:type="dxa" w:w="1721"/>
            <w:vAlign w:val="top"/>
          </w:tcPr>
          <w:p>
            <w:pPr>
              <w:spacing w:after="0" w:line="240" w:lineRule="auto"/>
            </w:pPr>
            <w:r/>
            <w:r>
              <w:rPr>
                <w:rFonts w:ascii="Times New Roman" w:hAnsi="Times New Roman" w:eastAsia="Times New Roman"/>
                <w:b w:val="0"/>
                <w:sz w:val="15"/>
              </w:rPr>
              <w:t>Deduplicated benchmark only</w:t>
            </w:r>
          </w:p>
        </w:tc>
      </w:tr>
    </w:tbl>
    <w:p>
      <w:pPr>
        <w:spacing w:before="40" w:after="40"/>
      </w:pPr>
      <w:r>
        <w:rPr>
          <w:rFonts w:ascii="Times New Roman" w:hAnsi="Times New Roman"/>
          <w:b/>
          <w:sz w:val="20"/>
        </w:rPr>
        <w:t>Table III. Highest Missingness Variables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42"/>
        <w:gridCol w:w="3442"/>
        <w:gridCol w:w="3442"/>
      </w:tblGrid>
      <w:tr>
        <w:tc>
          <w:tcPr>
            <w:tcW w:type="dxa" w:w="3442"/>
            <w:vAlign w:val="top"/>
          </w:tcPr>
          <w:p>
            <w:pPr>
              <w:spacing w:after="0" w:line="240" w:lineRule="auto"/>
            </w:pPr>
            <w:r/>
            <w:r>
              <w:rPr>
                <w:rFonts w:ascii="Times New Roman" w:hAnsi="Times New Roman" w:eastAsia="Times New Roman"/>
                <w:b/>
                <w:sz w:val="15"/>
              </w:rPr>
              <w:t>Variable</w:t>
            </w:r>
          </w:p>
        </w:tc>
        <w:tc>
          <w:tcPr>
            <w:tcW w:type="dxa" w:w="3442"/>
            <w:vAlign w:val="top"/>
          </w:tcPr>
          <w:p>
            <w:pPr>
              <w:spacing w:after="0" w:line="240" w:lineRule="auto"/>
            </w:pPr>
            <w:r/>
            <w:r>
              <w:rPr>
                <w:rFonts w:ascii="Times New Roman" w:hAnsi="Times New Roman" w:eastAsia="Times New Roman"/>
                <w:b/>
                <w:sz w:val="15"/>
              </w:rPr>
              <w:t>Missing Count</w:t>
            </w:r>
          </w:p>
        </w:tc>
        <w:tc>
          <w:tcPr>
            <w:tcW w:type="dxa" w:w="3442"/>
            <w:vAlign w:val="top"/>
          </w:tcPr>
          <w:p>
            <w:pPr>
              <w:spacing w:after="0" w:line="240" w:lineRule="auto"/>
            </w:pPr>
            <w:r/>
            <w:r>
              <w:rPr>
                <w:rFonts w:ascii="Times New Roman" w:hAnsi="Times New Roman" w:eastAsia="Times New Roman"/>
                <w:b/>
                <w:sz w:val="15"/>
              </w:rPr>
              <w:t>Missing %</w:t>
            </w:r>
          </w:p>
        </w:tc>
      </w:tr>
      <w:tr>
        <w:tc>
          <w:tcPr>
            <w:tcW w:type="dxa" w:w="3442"/>
            <w:vAlign w:val="top"/>
          </w:tcPr>
          <w:p>
            <w:pPr>
              <w:spacing w:after="0" w:line="240" w:lineRule="auto"/>
            </w:pPr>
            <w:r/>
            <w:r>
              <w:rPr>
                <w:rFonts w:ascii="Times New Roman" w:hAnsi="Times New Roman" w:eastAsia="Times New Roman"/>
                <w:b w:val="0"/>
                <w:sz w:val="15"/>
              </w:rPr>
              <w:t>ca</w:t>
            </w:r>
          </w:p>
        </w:tc>
        <w:tc>
          <w:tcPr>
            <w:tcW w:type="dxa" w:w="3442"/>
            <w:vAlign w:val="top"/>
          </w:tcPr>
          <w:p>
            <w:pPr>
              <w:spacing w:after="0" w:line="240" w:lineRule="auto"/>
            </w:pPr>
            <w:r/>
            <w:r>
              <w:rPr>
                <w:rFonts w:ascii="Times New Roman" w:hAnsi="Times New Roman" w:eastAsia="Times New Roman"/>
                <w:b w:val="0"/>
                <w:sz w:val="15"/>
              </w:rPr>
              <w:t>611</w:t>
            </w:r>
          </w:p>
        </w:tc>
        <w:tc>
          <w:tcPr>
            <w:tcW w:type="dxa" w:w="3442"/>
            <w:vAlign w:val="top"/>
          </w:tcPr>
          <w:p>
            <w:pPr>
              <w:spacing w:after="0" w:line="240" w:lineRule="auto"/>
            </w:pPr>
            <w:r/>
            <w:r>
              <w:rPr>
                <w:rFonts w:ascii="Times New Roman" w:hAnsi="Times New Roman" w:eastAsia="Times New Roman"/>
                <w:b w:val="0"/>
                <w:sz w:val="15"/>
              </w:rPr>
              <w:t>66.4%</w:t>
            </w:r>
          </w:p>
        </w:tc>
      </w:tr>
      <w:tr>
        <w:tc>
          <w:tcPr>
            <w:tcW w:type="dxa" w:w="3442"/>
            <w:vAlign w:val="top"/>
          </w:tcPr>
          <w:p>
            <w:pPr>
              <w:spacing w:after="0" w:line="240" w:lineRule="auto"/>
            </w:pPr>
            <w:r/>
            <w:r>
              <w:rPr>
                <w:rFonts w:ascii="Times New Roman" w:hAnsi="Times New Roman" w:eastAsia="Times New Roman"/>
                <w:b w:val="0"/>
                <w:sz w:val="15"/>
              </w:rPr>
              <w:t>thal</w:t>
            </w:r>
          </w:p>
        </w:tc>
        <w:tc>
          <w:tcPr>
            <w:tcW w:type="dxa" w:w="3442"/>
            <w:vAlign w:val="top"/>
          </w:tcPr>
          <w:p>
            <w:pPr>
              <w:spacing w:after="0" w:line="240" w:lineRule="auto"/>
            </w:pPr>
            <w:r/>
            <w:r>
              <w:rPr>
                <w:rFonts w:ascii="Times New Roman" w:hAnsi="Times New Roman" w:eastAsia="Times New Roman"/>
                <w:b w:val="0"/>
                <w:sz w:val="15"/>
              </w:rPr>
              <w:t>486</w:t>
            </w:r>
          </w:p>
        </w:tc>
        <w:tc>
          <w:tcPr>
            <w:tcW w:type="dxa" w:w="3442"/>
            <w:vAlign w:val="top"/>
          </w:tcPr>
          <w:p>
            <w:pPr>
              <w:spacing w:after="0" w:line="240" w:lineRule="auto"/>
            </w:pPr>
            <w:r/>
            <w:r>
              <w:rPr>
                <w:rFonts w:ascii="Times New Roman" w:hAnsi="Times New Roman" w:eastAsia="Times New Roman"/>
                <w:b w:val="0"/>
                <w:sz w:val="15"/>
              </w:rPr>
              <w:t>52.8%</w:t>
            </w:r>
          </w:p>
        </w:tc>
      </w:tr>
      <w:tr>
        <w:tc>
          <w:tcPr>
            <w:tcW w:type="dxa" w:w="3442"/>
            <w:vAlign w:val="top"/>
          </w:tcPr>
          <w:p>
            <w:pPr>
              <w:spacing w:after="0" w:line="240" w:lineRule="auto"/>
            </w:pPr>
            <w:r/>
            <w:r>
              <w:rPr>
                <w:rFonts w:ascii="Times New Roman" w:hAnsi="Times New Roman" w:eastAsia="Times New Roman"/>
                <w:b w:val="0"/>
                <w:sz w:val="15"/>
              </w:rPr>
              <w:t>slope</w:t>
            </w:r>
          </w:p>
        </w:tc>
        <w:tc>
          <w:tcPr>
            <w:tcW w:type="dxa" w:w="3442"/>
            <w:vAlign w:val="top"/>
          </w:tcPr>
          <w:p>
            <w:pPr>
              <w:spacing w:after="0" w:line="240" w:lineRule="auto"/>
            </w:pPr>
            <w:r/>
            <w:r>
              <w:rPr>
                <w:rFonts w:ascii="Times New Roman" w:hAnsi="Times New Roman" w:eastAsia="Times New Roman"/>
                <w:b w:val="0"/>
                <w:sz w:val="15"/>
              </w:rPr>
              <w:t>309</w:t>
            </w:r>
          </w:p>
        </w:tc>
        <w:tc>
          <w:tcPr>
            <w:tcW w:type="dxa" w:w="3442"/>
            <w:vAlign w:val="top"/>
          </w:tcPr>
          <w:p>
            <w:pPr>
              <w:spacing w:after="0" w:line="240" w:lineRule="auto"/>
            </w:pPr>
            <w:r/>
            <w:r>
              <w:rPr>
                <w:rFonts w:ascii="Times New Roman" w:hAnsi="Times New Roman" w:eastAsia="Times New Roman"/>
                <w:b w:val="0"/>
                <w:sz w:val="15"/>
              </w:rPr>
              <w:t>33.6%</w:t>
            </w:r>
          </w:p>
        </w:tc>
      </w:tr>
      <w:tr>
        <w:tc>
          <w:tcPr>
            <w:tcW w:type="dxa" w:w="3442"/>
            <w:vAlign w:val="top"/>
          </w:tcPr>
          <w:p>
            <w:pPr>
              <w:spacing w:after="0" w:line="240" w:lineRule="auto"/>
            </w:pPr>
            <w:r/>
            <w:r>
              <w:rPr>
                <w:rFonts w:ascii="Times New Roman" w:hAnsi="Times New Roman" w:eastAsia="Times New Roman"/>
                <w:b w:val="0"/>
                <w:sz w:val="15"/>
              </w:rPr>
              <w:t>fbs</w:t>
            </w:r>
          </w:p>
        </w:tc>
        <w:tc>
          <w:tcPr>
            <w:tcW w:type="dxa" w:w="3442"/>
            <w:vAlign w:val="top"/>
          </w:tcPr>
          <w:p>
            <w:pPr>
              <w:spacing w:after="0" w:line="240" w:lineRule="auto"/>
            </w:pPr>
            <w:r/>
            <w:r>
              <w:rPr>
                <w:rFonts w:ascii="Times New Roman" w:hAnsi="Times New Roman" w:eastAsia="Times New Roman"/>
                <w:b w:val="0"/>
                <w:sz w:val="15"/>
              </w:rPr>
              <w:t>90</w:t>
            </w:r>
          </w:p>
        </w:tc>
        <w:tc>
          <w:tcPr>
            <w:tcW w:type="dxa" w:w="3442"/>
            <w:vAlign w:val="top"/>
          </w:tcPr>
          <w:p>
            <w:pPr>
              <w:spacing w:after="0" w:line="240" w:lineRule="auto"/>
            </w:pPr>
            <w:r/>
            <w:r>
              <w:rPr>
                <w:rFonts w:ascii="Times New Roman" w:hAnsi="Times New Roman" w:eastAsia="Times New Roman"/>
                <w:b w:val="0"/>
                <w:sz w:val="15"/>
              </w:rPr>
              <w:t>9.8%</w:t>
            </w:r>
          </w:p>
        </w:tc>
      </w:tr>
      <w:tr>
        <w:tc>
          <w:tcPr>
            <w:tcW w:type="dxa" w:w="3442"/>
            <w:vAlign w:val="top"/>
          </w:tcPr>
          <w:p>
            <w:pPr>
              <w:spacing w:after="0" w:line="240" w:lineRule="auto"/>
            </w:pPr>
            <w:r/>
            <w:r>
              <w:rPr>
                <w:rFonts w:ascii="Times New Roman" w:hAnsi="Times New Roman" w:eastAsia="Times New Roman"/>
                <w:b w:val="0"/>
                <w:sz w:val="15"/>
              </w:rPr>
              <w:t>oldpeak</w:t>
            </w:r>
          </w:p>
        </w:tc>
        <w:tc>
          <w:tcPr>
            <w:tcW w:type="dxa" w:w="3442"/>
            <w:vAlign w:val="top"/>
          </w:tcPr>
          <w:p>
            <w:pPr>
              <w:spacing w:after="0" w:line="240" w:lineRule="auto"/>
            </w:pPr>
            <w:r/>
            <w:r>
              <w:rPr>
                <w:rFonts w:ascii="Times New Roman" w:hAnsi="Times New Roman" w:eastAsia="Times New Roman"/>
                <w:b w:val="0"/>
                <w:sz w:val="15"/>
              </w:rPr>
              <w:t>62</w:t>
            </w:r>
          </w:p>
        </w:tc>
        <w:tc>
          <w:tcPr>
            <w:tcW w:type="dxa" w:w="3442"/>
            <w:vAlign w:val="top"/>
          </w:tcPr>
          <w:p>
            <w:pPr>
              <w:spacing w:after="0" w:line="240" w:lineRule="auto"/>
            </w:pPr>
            <w:r/>
            <w:r>
              <w:rPr>
                <w:rFonts w:ascii="Times New Roman" w:hAnsi="Times New Roman" w:eastAsia="Times New Roman"/>
                <w:b w:val="0"/>
                <w:sz w:val="15"/>
              </w:rPr>
              <w:t>6.7%</w:t>
            </w:r>
          </w:p>
        </w:tc>
      </w:tr>
      <w:tr>
        <w:tc>
          <w:tcPr>
            <w:tcW w:type="dxa" w:w="3442"/>
            <w:vAlign w:val="top"/>
          </w:tcPr>
          <w:p>
            <w:pPr>
              <w:spacing w:after="0" w:line="240" w:lineRule="auto"/>
            </w:pPr>
            <w:r/>
            <w:r>
              <w:rPr>
                <w:rFonts w:ascii="Times New Roman" w:hAnsi="Times New Roman" w:eastAsia="Times New Roman"/>
                <w:b w:val="0"/>
                <w:sz w:val="15"/>
              </w:rPr>
              <w:t>trestbps</w:t>
            </w:r>
          </w:p>
        </w:tc>
        <w:tc>
          <w:tcPr>
            <w:tcW w:type="dxa" w:w="3442"/>
            <w:vAlign w:val="top"/>
          </w:tcPr>
          <w:p>
            <w:pPr>
              <w:spacing w:after="0" w:line="240" w:lineRule="auto"/>
            </w:pPr>
            <w:r/>
            <w:r>
              <w:rPr>
                <w:rFonts w:ascii="Times New Roman" w:hAnsi="Times New Roman" w:eastAsia="Times New Roman"/>
                <w:b w:val="0"/>
                <w:sz w:val="15"/>
              </w:rPr>
              <w:t>59</w:t>
            </w:r>
          </w:p>
        </w:tc>
        <w:tc>
          <w:tcPr>
            <w:tcW w:type="dxa" w:w="3442"/>
            <w:vAlign w:val="top"/>
          </w:tcPr>
          <w:p>
            <w:pPr>
              <w:spacing w:after="0" w:line="240" w:lineRule="auto"/>
            </w:pPr>
            <w:r/>
            <w:r>
              <w:rPr>
                <w:rFonts w:ascii="Times New Roman" w:hAnsi="Times New Roman" w:eastAsia="Times New Roman"/>
                <w:b w:val="0"/>
                <w:sz w:val="15"/>
              </w:rPr>
              <w:t>6.4%</w:t>
            </w:r>
          </w:p>
        </w:tc>
      </w:tr>
      <w:tr>
        <w:tc>
          <w:tcPr>
            <w:tcW w:type="dxa" w:w="3442"/>
            <w:vAlign w:val="top"/>
          </w:tcPr>
          <w:p>
            <w:pPr>
              <w:spacing w:after="0" w:line="240" w:lineRule="auto"/>
            </w:pPr>
            <w:r/>
            <w:r>
              <w:rPr>
                <w:rFonts w:ascii="Times New Roman" w:hAnsi="Times New Roman" w:eastAsia="Times New Roman"/>
                <w:b w:val="0"/>
                <w:sz w:val="15"/>
              </w:rPr>
              <w:t>exang</w:t>
            </w:r>
          </w:p>
        </w:tc>
        <w:tc>
          <w:tcPr>
            <w:tcW w:type="dxa" w:w="3442"/>
            <w:vAlign w:val="top"/>
          </w:tcPr>
          <w:p>
            <w:pPr>
              <w:spacing w:after="0" w:line="240" w:lineRule="auto"/>
            </w:pPr>
            <w:r/>
            <w:r>
              <w:rPr>
                <w:rFonts w:ascii="Times New Roman" w:hAnsi="Times New Roman" w:eastAsia="Times New Roman"/>
                <w:b w:val="0"/>
                <w:sz w:val="15"/>
              </w:rPr>
              <w:t>55</w:t>
            </w:r>
          </w:p>
        </w:tc>
        <w:tc>
          <w:tcPr>
            <w:tcW w:type="dxa" w:w="3442"/>
            <w:vAlign w:val="top"/>
          </w:tcPr>
          <w:p>
            <w:pPr>
              <w:spacing w:after="0" w:line="240" w:lineRule="auto"/>
            </w:pPr>
            <w:r/>
            <w:r>
              <w:rPr>
                <w:rFonts w:ascii="Times New Roman" w:hAnsi="Times New Roman" w:eastAsia="Times New Roman"/>
                <w:b w:val="0"/>
                <w:sz w:val="15"/>
              </w:rPr>
              <w:t>6.0%</w:t>
            </w:r>
          </w:p>
        </w:tc>
      </w:tr>
      <w:tr>
        <w:tc>
          <w:tcPr>
            <w:tcW w:type="dxa" w:w="3442"/>
            <w:vAlign w:val="top"/>
          </w:tcPr>
          <w:p>
            <w:pPr>
              <w:spacing w:after="0" w:line="240" w:lineRule="auto"/>
            </w:pPr>
            <w:r/>
            <w:r>
              <w:rPr>
                <w:rFonts w:ascii="Times New Roman" w:hAnsi="Times New Roman" w:eastAsia="Times New Roman"/>
                <w:b w:val="0"/>
                <w:sz w:val="15"/>
              </w:rPr>
              <w:t>thalach</w:t>
            </w:r>
          </w:p>
        </w:tc>
        <w:tc>
          <w:tcPr>
            <w:tcW w:type="dxa" w:w="3442"/>
            <w:vAlign w:val="top"/>
          </w:tcPr>
          <w:p>
            <w:pPr>
              <w:spacing w:after="0" w:line="240" w:lineRule="auto"/>
            </w:pPr>
            <w:r/>
            <w:r>
              <w:rPr>
                <w:rFonts w:ascii="Times New Roman" w:hAnsi="Times New Roman" w:eastAsia="Times New Roman"/>
                <w:b w:val="0"/>
                <w:sz w:val="15"/>
              </w:rPr>
              <w:t>55</w:t>
            </w:r>
          </w:p>
        </w:tc>
        <w:tc>
          <w:tcPr>
            <w:tcW w:type="dxa" w:w="3442"/>
            <w:vAlign w:val="top"/>
          </w:tcPr>
          <w:p>
            <w:pPr>
              <w:spacing w:after="0" w:line="240" w:lineRule="auto"/>
            </w:pPr>
            <w:r/>
            <w:r>
              <w:rPr>
                <w:rFonts w:ascii="Times New Roman" w:hAnsi="Times New Roman" w:eastAsia="Times New Roman"/>
                <w:b w:val="0"/>
                <w:sz w:val="15"/>
              </w:rPr>
              <w:t>6.0%</w:t>
            </w:r>
          </w:p>
        </w:tc>
      </w:tr>
    </w:tbl>
    <w:p>
      <w:pPr>
        <w:spacing w:before="80" w:after="40"/>
        <w:jc w:val="center"/>
      </w:pPr>
      <w:r>
        <w:rPr>
          <w:rFonts w:ascii="Times New Roman" w:hAnsi="Times New Roman"/>
          <w:b/>
          <w:sz w:val="20"/>
        </w:rPr>
        <w:t>IV. EXPERIMENTATION</w:t>
      </w:r>
    </w:p>
    <w:p>
      <w:pPr>
        <w:spacing w:after="40" w:line="240" w:lineRule="auto"/>
        <w:jc w:val="both"/>
      </w:pPr>
      <w:r>
        <w:rPr>
          <w:rFonts w:ascii="Times New Roman" w:hAnsi="Times New Roman" w:eastAsia="Times New Roman"/>
          <w:sz w:val="20"/>
        </w:rPr>
        <w:t>The main experiment used leave-one-center-out validation on the primary dataset. In each outer fold, one center was held out. Model selection was performed only on the development centers, and the selected candidate was evaluated on the held-out center. This avoids using the held-out center to choose preprocessing or hyperparameters.</w:t>
      </w:r>
    </w:p>
    <w:p>
      <w:pPr>
        <w:spacing w:after="40" w:line="240" w:lineRule="auto"/>
        <w:jc w:val="both"/>
      </w:pPr>
      <w:r>
        <w:rPr>
          <w:rFonts w:ascii="Times New Roman" w:hAnsi="Times New Roman" w:eastAsia="Times New Roman"/>
          <w:sz w:val="20"/>
        </w:rPr>
        <w:t>Metrics included AUROC, AUPRC, accuracy, balanced accuracy, sensitivity, specificity, precision or positive predictive value, negative predictive value, F1 score, Matthews correlation coefficient, Brier score, calibration intercept, calibration slope, confusion matrix, and threshold analysis. Bootstrap confidence intervals were calculated for key pooled held-out predictions. Generated artifacts include ROC, precision-recall, calibration, decision-curve, confusion-matrix, missingness, distribution, feature-importance, and SHAP-style figures.</w:t>
      </w:r>
    </w:p>
    <w:p>
      <w:pPr>
        <w:spacing w:after="40" w:line="240" w:lineRule="auto"/>
        <w:jc w:val="both"/>
      </w:pPr>
      <w:r>
        <w:rPr>
          <w:rFonts w:ascii="Times New Roman" w:hAnsi="Times New Roman" w:eastAsia="Times New Roman"/>
          <w:sz w:val="20"/>
        </w:rPr>
        <w:t>Ablation and comparative analyses focused on four practical questions: whether the neural network was better than simpler tabular models, whether threshold choice changed clinical operating behavior, whether center-to-center performance was stable, and whether duplicate-expanded heart.csv results differed from deduplicated benchmark results.</w:t>
      </w:r>
    </w:p>
    <w:p>
      <w:pPr>
        <w:spacing w:before="80" w:after="40"/>
        <w:jc w:val="center"/>
      </w:pPr>
      <w:r>
        <w:rPr>
          <w:rFonts w:ascii="Times New Roman" w:hAnsi="Times New Roman"/>
          <w:b/>
          <w:sz w:val="20"/>
        </w:rPr>
        <w:t>V. RESULTS AND DISCUSSION</w:t>
      </w:r>
    </w:p>
    <w:p>
      <w:pPr>
        <w:spacing w:after="40" w:line="240" w:lineRule="auto"/>
        <w:jc w:val="both"/>
      </w:pPr>
      <w:r>
        <w:rPr>
          <w:rFonts w:ascii="Times New Roman" w:hAnsi="Times New Roman" w:eastAsia="Times New Roman"/>
          <w:sz w:val="20"/>
        </w:rPr>
        <w:t>The data audit showed that the primary dataset is small and heterogeneous but useful for a site-aware laboratory study. Cleveland and Hungary contain more balanced disease distributions, whereas Switzerland and VA Long Beach have higher disease prevalence. This center imbalance is exactly why a random split would be a weak main result: randomization could mix site-specific patterns into both training and test data.</w:t>
      </w:r>
    </w:p>
    <w:p>
      <w:pPr>
        <w:spacing w:after="40" w:line="240" w:lineRule="auto"/>
        <w:jc w:val="both"/>
      </w:pPr>
      <w:r>
        <w:rPr>
          <w:rFonts w:ascii="Times New Roman" w:hAnsi="Times New Roman" w:eastAsia="Times New Roman"/>
          <w:sz w:val="20"/>
        </w:rPr>
        <w:t>Missingness was clinically and methodologically important. The most incomplete variables were ca (66.4% missing), thal (52.8%), slope (33.6%), fbs (9.8%), oldpeak (6.7%), trestbps (6.4%), exang (6.0%), and thalach (6.0%). Since these missing values can be center-dependent, imputation was deliberately performed inside each training fold.</w:t>
      </w:r>
    </w:p>
    <w:p>
      <w:pPr>
        <w:spacing w:after="40" w:line="240" w:lineRule="auto"/>
        <w:jc w:val="both"/>
      </w:pPr>
      <w:r>
        <w:rPr>
          <w:rFonts w:ascii="Times New Roman" w:hAnsi="Times New Roman" w:eastAsia="Times New Roman"/>
          <w:sz w:val="20"/>
        </w:rPr>
        <w:t>The primary model comparison did not support choosing the neural network as the final model. Calibrated gradient boosting had the highest mean AUROC, but penalized logistic regression achieved the best overall compromise after considering AUPRC, Brier score, balanced accuracy, MCC, calibration behavior, and interpretability. This is consistent with the practical lesson that small tabular clinical datasets do not automatically benefit from deeper models.</w:t>
      </w:r>
    </w:p>
    <w:p>
      <w:pPr>
        <w:spacing w:after="40" w:line="240" w:lineRule="auto"/>
        <w:jc w:val="both"/>
      </w:pPr>
      <w:r>
        <w:rPr>
          <w:rFonts w:ascii="Times New Roman" w:hAnsi="Times New Roman" w:eastAsia="Times New Roman"/>
          <w:sz w:val="20"/>
        </w:rPr>
        <w:t>For pooled held-out-center predictions, the selected logistic regression model achieved AUROC 0.855, AUPRC 0.864, Brier score 0.159, and balanced accuracy 0.785. At threshold 0.50, sensitivity was 0.729 and specificity was 0.842. Lowering the threshold to 0.30 increased sensitivity but reduced specificity; raising it to 0.70 did the opposite. Therefore, the application reports a probability and risk category rather than claiming a universal diagnostic threshold.</w:t>
      </w:r>
    </w:p>
    <w:p>
      <w:pPr>
        <w:spacing w:after="40" w:line="240" w:lineRule="auto"/>
        <w:jc w:val="both"/>
      </w:pPr>
      <w:r>
        <w:rPr>
          <w:rFonts w:ascii="Times New Roman" w:hAnsi="Times New Roman" w:eastAsia="Times New Roman"/>
          <w:sz w:val="20"/>
        </w:rPr>
        <w:t>Center-wise results showed important generalizability differences. Performance was strongest for Cleveland and Hungary, lower for Switzerland and VA Long Beach, and calibration was not uniform across sites. These results are scientifically useful because they show where the public dataset is fragile. The project therefore presents the model as a benchmark and decision-support prototype for education, not as a clinical device.</w:t>
      </w:r>
    </w:p>
    <w:p>
      <w:pPr>
        <w:spacing w:after="40" w:line="240" w:lineRule="auto"/>
        <w:jc w:val="both"/>
      </w:pPr>
      <w:r>
        <w:rPr>
          <w:rFonts w:ascii="Times New Roman" w:hAnsi="Times New Roman" w:eastAsia="Times New Roman"/>
          <w:sz w:val="20"/>
        </w:rPr>
        <w:t>The explanation analysis identified chest pain type, sex, exercise-induced angina, thal category, ST slope, oldpeak, cholesterol, and fasting blood sugar as influential variables. These are plausible for a heart-disease benchmark, but the interpretation remains associational. The explanation layer is meant to answer why the model produced a prediction for the entered profile in terms of learned patterns, not to replace clinical judgment.</w:t>
      </w:r>
    </w:p>
    <w:p>
      <w:pPr>
        <w:spacing w:before="40" w:after="40"/>
      </w:pPr>
      <w:r>
        <w:rPr>
          <w:rFonts w:ascii="Times New Roman" w:hAnsi="Times New Roman"/>
          <w:b/>
          <w:sz w:val="20"/>
        </w:rPr>
        <w:t>Table IV. Primary Model Comparison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1"/>
        <w:gridCol w:w="1721"/>
        <w:gridCol w:w="1721"/>
        <w:gridCol w:w="1721"/>
        <w:gridCol w:w="1721"/>
        <w:gridCol w:w="1721"/>
      </w:tblGrid>
      <w:tr>
        <w:tc>
          <w:tcPr>
            <w:tcW w:type="dxa" w:w="1721"/>
            <w:vAlign w:val="top"/>
          </w:tcPr>
          <w:p>
            <w:pPr>
              <w:spacing w:after="0" w:line="240" w:lineRule="auto"/>
            </w:pPr>
            <w:r/>
            <w:r>
              <w:rPr>
                <w:rFonts w:ascii="Times New Roman" w:hAnsi="Times New Roman" w:eastAsia="Times New Roman"/>
                <w:b/>
                <w:sz w:val="15"/>
              </w:rPr>
              <w:t>Model</w:t>
            </w:r>
          </w:p>
        </w:tc>
        <w:tc>
          <w:tcPr>
            <w:tcW w:type="dxa" w:w="1721"/>
            <w:vAlign w:val="top"/>
          </w:tcPr>
          <w:p>
            <w:pPr>
              <w:spacing w:after="0" w:line="240" w:lineRule="auto"/>
            </w:pPr>
            <w:r/>
            <w:r>
              <w:rPr>
                <w:rFonts w:ascii="Times New Roman" w:hAnsi="Times New Roman" w:eastAsia="Times New Roman"/>
                <w:b/>
                <w:sz w:val="15"/>
              </w:rPr>
              <w:t>AUROC</w:t>
            </w:r>
          </w:p>
        </w:tc>
        <w:tc>
          <w:tcPr>
            <w:tcW w:type="dxa" w:w="1721"/>
            <w:vAlign w:val="top"/>
          </w:tcPr>
          <w:p>
            <w:pPr>
              <w:spacing w:after="0" w:line="240" w:lineRule="auto"/>
            </w:pPr>
            <w:r/>
            <w:r>
              <w:rPr>
                <w:rFonts w:ascii="Times New Roman" w:hAnsi="Times New Roman" w:eastAsia="Times New Roman"/>
                <w:b/>
                <w:sz w:val="15"/>
              </w:rPr>
              <w:t>AUPRC</w:t>
            </w:r>
          </w:p>
        </w:tc>
        <w:tc>
          <w:tcPr>
            <w:tcW w:type="dxa" w:w="1721"/>
            <w:vAlign w:val="top"/>
          </w:tcPr>
          <w:p>
            <w:pPr>
              <w:spacing w:after="0" w:line="240" w:lineRule="auto"/>
            </w:pPr>
            <w:r/>
            <w:r>
              <w:rPr>
                <w:rFonts w:ascii="Times New Roman" w:hAnsi="Times New Roman" w:eastAsia="Times New Roman"/>
                <w:b/>
                <w:sz w:val="15"/>
              </w:rPr>
              <w:t>Brier</w:t>
            </w:r>
          </w:p>
        </w:tc>
        <w:tc>
          <w:tcPr>
            <w:tcW w:type="dxa" w:w="1721"/>
            <w:vAlign w:val="top"/>
          </w:tcPr>
          <w:p>
            <w:pPr>
              <w:spacing w:after="0" w:line="240" w:lineRule="auto"/>
            </w:pPr>
            <w:r/>
            <w:r>
              <w:rPr>
                <w:rFonts w:ascii="Times New Roman" w:hAnsi="Times New Roman" w:eastAsia="Times New Roman"/>
                <w:b/>
                <w:sz w:val="15"/>
              </w:rPr>
              <w:t>Bal. Acc.</w:t>
            </w:r>
          </w:p>
        </w:tc>
        <w:tc>
          <w:tcPr>
            <w:tcW w:type="dxa" w:w="1721"/>
            <w:vAlign w:val="top"/>
          </w:tcPr>
          <w:p>
            <w:pPr>
              <w:spacing w:after="0" w:line="240" w:lineRule="auto"/>
            </w:pPr>
            <w:r/>
            <w:r>
              <w:rPr>
                <w:rFonts w:ascii="Times New Roman" w:hAnsi="Times New Roman" w:eastAsia="Times New Roman"/>
                <w:b/>
                <w:sz w:val="15"/>
              </w:rPr>
              <w:t>MCC</w:t>
            </w:r>
          </w:p>
        </w:tc>
      </w:tr>
      <w:tr>
        <w:tc>
          <w:tcPr>
            <w:tcW w:type="dxa" w:w="1721"/>
            <w:vAlign w:val="top"/>
          </w:tcPr>
          <w:p>
            <w:pPr>
              <w:spacing w:after="0" w:line="240" w:lineRule="auto"/>
            </w:pPr>
            <w:r/>
            <w:r>
              <w:rPr>
                <w:rFonts w:ascii="Times New Roman" w:hAnsi="Times New Roman" w:eastAsia="Times New Roman"/>
                <w:b w:val="0"/>
                <w:sz w:val="15"/>
              </w:rPr>
              <w:t>Penalized logistic regression</w:t>
            </w:r>
          </w:p>
        </w:tc>
        <w:tc>
          <w:tcPr>
            <w:tcW w:type="dxa" w:w="1721"/>
            <w:vAlign w:val="top"/>
          </w:tcPr>
          <w:p>
            <w:pPr>
              <w:spacing w:after="0" w:line="240" w:lineRule="auto"/>
            </w:pPr>
            <w:r/>
            <w:r>
              <w:rPr>
                <w:rFonts w:ascii="Times New Roman" w:hAnsi="Times New Roman" w:eastAsia="Times New Roman"/>
                <w:b w:val="0"/>
                <w:sz w:val="15"/>
              </w:rPr>
              <w:t>0.799</w:t>
            </w:r>
          </w:p>
        </w:tc>
        <w:tc>
          <w:tcPr>
            <w:tcW w:type="dxa" w:w="1721"/>
            <w:vAlign w:val="top"/>
          </w:tcPr>
          <w:p>
            <w:pPr>
              <w:spacing w:after="0" w:line="240" w:lineRule="auto"/>
            </w:pPr>
            <w:r/>
            <w:r>
              <w:rPr>
                <w:rFonts w:ascii="Times New Roman" w:hAnsi="Times New Roman" w:eastAsia="Times New Roman"/>
                <w:b w:val="0"/>
                <w:sz w:val="15"/>
              </w:rPr>
              <w:t>0.880</w:t>
            </w:r>
          </w:p>
        </w:tc>
        <w:tc>
          <w:tcPr>
            <w:tcW w:type="dxa" w:w="1721"/>
            <w:vAlign w:val="top"/>
          </w:tcPr>
          <w:p>
            <w:pPr>
              <w:spacing w:after="0" w:line="240" w:lineRule="auto"/>
            </w:pPr>
            <w:r/>
            <w:r>
              <w:rPr>
                <w:rFonts w:ascii="Times New Roman" w:hAnsi="Times New Roman" w:eastAsia="Times New Roman"/>
                <w:b w:val="0"/>
                <w:sz w:val="15"/>
              </w:rPr>
              <w:t>0.168</w:t>
            </w:r>
          </w:p>
        </w:tc>
        <w:tc>
          <w:tcPr>
            <w:tcW w:type="dxa" w:w="1721"/>
            <w:vAlign w:val="top"/>
          </w:tcPr>
          <w:p>
            <w:pPr>
              <w:spacing w:after="0" w:line="240" w:lineRule="auto"/>
            </w:pPr>
            <w:r/>
            <w:r>
              <w:rPr>
                <w:rFonts w:ascii="Times New Roman" w:hAnsi="Times New Roman" w:eastAsia="Times New Roman"/>
                <w:b w:val="0"/>
                <w:sz w:val="15"/>
              </w:rPr>
              <w:t>0.745</w:t>
            </w:r>
          </w:p>
        </w:tc>
        <w:tc>
          <w:tcPr>
            <w:tcW w:type="dxa" w:w="1721"/>
            <w:vAlign w:val="top"/>
          </w:tcPr>
          <w:p>
            <w:pPr>
              <w:spacing w:after="0" w:line="240" w:lineRule="auto"/>
            </w:pPr>
            <w:r/>
            <w:r>
              <w:rPr>
                <w:rFonts w:ascii="Times New Roman" w:hAnsi="Times New Roman" w:eastAsia="Times New Roman"/>
                <w:b w:val="0"/>
                <w:sz w:val="15"/>
              </w:rPr>
              <w:t>0.441</w:t>
            </w:r>
          </w:p>
        </w:tc>
      </w:tr>
      <w:tr>
        <w:tc>
          <w:tcPr>
            <w:tcW w:type="dxa" w:w="1721"/>
            <w:vAlign w:val="top"/>
          </w:tcPr>
          <w:p>
            <w:pPr>
              <w:spacing w:after="0" w:line="240" w:lineRule="auto"/>
            </w:pPr>
            <w:r/>
            <w:r>
              <w:rPr>
                <w:rFonts w:ascii="Times New Roman" w:hAnsi="Times New Roman" w:eastAsia="Times New Roman"/>
                <w:b w:val="0"/>
                <w:sz w:val="15"/>
              </w:rPr>
              <w:t>Calibrated gradient boosting</w:t>
            </w:r>
          </w:p>
        </w:tc>
        <w:tc>
          <w:tcPr>
            <w:tcW w:type="dxa" w:w="1721"/>
            <w:vAlign w:val="top"/>
          </w:tcPr>
          <w:p>
            <w:pPr>
              <w:spacing w:after="0" w:line="240" w:lineRule="auto"/>
            </w:pPr>
            <w:r/>
            <w:r>
              <w:rPr>
                <w:rFonts w:ascii="Times New Roman" w:hAnsi="Times New Roman" w:eastAsia="Times New Roman"/>
                <w:b w:val="0"/>
                <w:sz w:val="15"/>
              </w:rPr>
              <w:t>0.809</w:t>
            </w:r>
          </w:p>
        </w:tc>
        <w:tc>
          <w:tcPr>
            <w:tcW w:type="dxa" w:w="1721"/>
            <w:vAlign w:val="top"/>
          </w:tcPr>
          <w:p>
            <w:pPr>
              <w:spacing w:after="0" w:line="240" w:lineRule="auto"/>
            </w:pPr>
            <w:r/>
            <w:r>
              <w:rPr>
                <w:rFonts w:ascii="Times New Roman" w:hAnsi="Times New Roman" w:eastAsia="Times New Roman"/>
                <w:b w:val="0"/>
                <w:sz w:val="15"/>
              </w:rPr>
              <w:t>0.877</w:t>
            </w:r>
          </w:p>
        </w:tc>
        <w:tc>
          <w:tcPr>
            <w:tcW w:type="dxa" w:w="1721"/>
            <w:vAlign w:val="top"/>
          </w:tcPr>
          <w:p>
            <w:pPr>
              <w:spacing w:after="0" w:line="240" w:lineRule="auto"/>
            </w:pPr>
            <w:r/>
            <w:r>
              <w:rPr>
                <w:rFonts w:ascii="Times New Roman" w:hAnsi="Times New Roman" w:eastAsia="Times New Roman"/>
                <w:b w:val="0"/>
                <w:sz w:val="15"/>
              </w:rPr>
              <w:t>0.174</w:t>
            </w:r>
          </w:p>
        </w:tc>
        <w:tc>
          <w:tcPr>
            <w:tcW w:type="dxa" w:w="1721"/>
            <w:vAlign w:val="top"/>
          </w:tcPr>
          <w:p>
            <w:pPr>
              <w:spacing w:after="0" w:line="240" w:lineRule="auto"/>
            </w:pPr>
            <w:r/>
            <w:r>
              <w:rPr>
                <w:rFonts w:ascii="Times New Roman" w:hAnsi="Times New Roman" w:eastAsia="Times New Roman"/>
                <w:b w:val="0"/>
                <w:sz w:val="15"/>
              </w:rPr>
              <w:t>0.714</w:t>
            </w:r>
          </w:p>
        </w:tc>
        <w:tc>
          <w:tcPr>
            <w:tcW w:type="dxa" w:w="1721"/>
            <w:vAlign w:val="top"/>
          </w:tcPr>
          <w:p>
            <w:pPr>
              <w:spacing w:after="0" w:line="240" w:lineRule="auto"/>
            </w:pPr>
            <w:r/>
            <w:r>
              <w:rPr>
                <w:rFonts w:ascii="Times New Roman" w:hAnsi="Times New Roman" w:eastAsia="Times New Roman"/>
                <w:b w:val="0"/>
                <w:sz w:val="15"/>
              </w:rPr>
              <w:t>0.385</w:t>
            </w:r>
          </w:p>
        </w:tc>
      </w:tr>
      <w:tr>
        <w:tc>
          <w:tcPr>
            <w:tcW w:type="dxa" w:w="1721"/>
            <w:vAlign w:val="top"/>
          </w:tcPr>
          <w:p>
            <w:pPr>
              <w:spacing w:after="0" w:line="240" w:lineRule="auto"/>
            </w:pPr>
            <w:r/>
            <w:r>
              <w:rPr>
                <w:rFonts w:ascii="Times New Roman" w:hAnsi="Times New Roman" w:eastAsia="Times New Roman"/>
                <w:b w:val="0"/>
                <w:sz w:val="15"/>
              </w:rPr>
              <w:t>Random forest</w:t>
            </w:r>
          </w:p>
        </w:tc>
        <w:tc>
          <w:tcPr>
            <w:tcW w:type="dxa" w:w="1721"/>
            <w:vAlign w:val="top"/>
          </w:tcPr>
          <w:p>
            <w:pPr>
              <w:spacing w:after="0" w:line="240" w:lineRule="auto"/>
            </w:pPr>
            <w:r/>
            <w:r>
              <w:rPr>
                <w:rFonts w:ascii="Times New Roman" w:hAnsi="Times New Roman" w:eastAsia="Times New Roman"/>
                <w:b w:val="0"/>
                <w:sz w:val="15"/>
              </w:rPr>
              <w:t>0.800</w:t>
            </w:r>
          </w:p>
        </w:tc>
        <w:tc>
          <w:tcPr>
            <w:tcW w:type="dxa" w:w="1721"/>
            <w:vAlign w:val="top"/>
          </w:tcPr>
          <w:p>
            <w:pPr>
              <w:spacing w:after="0" w:line="240" w:lineRule="auto"/>
            </w:pPr>
            <w:r/>
            <w:r>
              <w:rPr>
                <w:rFonts w:ascii="Times New Roman" w:hAnsi="Times New Roman" w:eastAsia="Times New Roman"/>
                <w:b w:val="0"/>
                <w:sz w:val="15"/>
              </w:rPr>
              <w:t>0.873</w:t>
            </w:r>
          </w:p>
        </w:tc>
        <w:tc>
          <w:tcPr>
            <w:tcW w:type="dxa" w:w="1721"/>
            <w:vAlign w:val="top"/>
          </w:tcPr>
          <w:p>
            <w:pPr>
              <w:spacing w:after="0" w:line="240" w:lineRule="auto"/>
            </w:pPr>
            <w:r/>
            <w:r>
              <w:rPr>
                <w:rFonts w:ascii="Times New Roman" w:hAnsi="Times New Roman" w:eastAsia="Times New Roman"/>
                <w:b w:val="0"/>
                <w:sz w:val="15"/>
              </w:rPr>
              <w:t>0.170</w:t>
            </w:r>
          </w:p>
        </w:tc>
        <w:tc>
          <w:tcPr>
            <w:tcW w:type="dxa" w:w="1721"/>
            <w:vAlign w:val="top"/>
          </w:tcPr>
          <w:p>
            <w:pPr>
              <w:spacing w:after="0" w:line="240" w:lineRule="auto"/>
            </w:pPr>
            <w:r/>
            <w:r>
              <w:rPr>
                <w:rFonts w:ascii="Times New Roman" w:hAnsi="Times New Roman" w:eastAsia="Times New Roman"/>
                <w:b w:val="0"/>
                <w:sz w:val="15"/>
              </w:rPr>
              <w:t>0.716</w:t>
            </w:r>
          </w:p>
        </w:tc>
        <w:tc>
          <w:tcPr>
            <w:tcW w:type="dxa" w:w="1721"/>
            <w:vAlign w:val="top"/>
          </w:tcPr>
          <w:p>
            <w:pPr>
              <w:spacing w:after="0" w:line="240" w:lineRule="auto"/>
            </w:pPr>
            <w:r/>
            <w:r>
              <w:rPr>
                <w:rFonts w:ascii="Times New Roman" w:hAnsi="Times New Roman" w:eastAsia="Times New Roman"/>
                <w:b w:val="0"/>
                <w:sz w:val="15"/>
              </w:rPr>
              <w:t>0.387</w:t>
            </w:r>
          </w:p>
        </w:tc>
      </w:tr>
      <w:tr>
        <w:tc>
          <w:tcPr>
            <w:tcW w:type="dxa" w:w="1721"/>
            <w:vAlign w:val="top"/>
          </w:tcPr>
          <w:p>
            <w:pPr>
              <w:spacing w:after="0" w:line="240" w:lineRule="auto"/>
            </w:pPr>
            <w:r/>
            <w:r>
              <w:rPr>
                <w:rFonts w:ascii="Times New Roman" w:hAnsi="Times New Roman" w:eastAsia="Times New Roman"/>
                <w:b w:val="0"/>
                <w:sz w:val="15"/>
              </w:rPr>
              <w:t>Gradient boosting</w:t>
            </w:r>
          </w:p>
        </w:tc>
        <w:tc>
          <w:tcPr>
            <w:tcW w:type="dxa" w:w="1721"/>
            <w:vAlign w:val="top"/>
          </w:tcPr>
          <w:p>
            <w:pPr>
              <w:spacing w:after="0" w:line="240" w:lineRule="auto"/>
            </w:pPr>
            <w:r/>
            <w:r>
              <w:rPr>
                <w:rFonts w:ascii="Times New Roman" w:hAnsi="Times New Roman" w:eastAsia="Times New Roman"/>
                <w:b w:val="0"/>
                <w:sz w:val="15"/>
              </w:rPr>
              <w:t>0.793</w:t>
            </w:r>
          </w:p>
        </w:tc>
        <w:tc>
          <w:tcPr>
            <w:tcW w:type="dxa" w:w="1721"/>
            <w:vAlign w:val="top"/>
          </w:tcPr>
          <w:p>
            <w:pPr>
              <w:spacing w:after="0" w:line="240" w:lineRule="auto"/>
            </w:pPr>
            <w:r/>
            <w:r>
              <w:rPr>
                <w:rFonts w:ascii="Times New Roman" w:hAnsi="Times New Roman" w:eastAsia="Times New Roman"/>
                <w:b w:val="0"/>
                <w:sz w:val="15"/>
              </w:rPr>
              <w:t>0.861</w:t>
            </w:r>
          </w:p>
        </w:tc>
        <w:tc>
          <w:tcPr>
            <w:tcW w:type="dxa" w:w="1721"/>
            <w:vAlign w:val="top"/>
          </w:tcPr>
          <w:p>
            <w:pPr>
              <w:spacing w:after="0" w:line="240" w:lineRule="auto"/>
            </w:pPr>
            <w:r/>
            <w:r>
              <w:rPr>
                <w:rFonts w:ascii="Times New Roman" w:hAnsi="Times New Roman" w:eastAsia="Times New Roman"/>
                <w:b w:val="0"/>
                <w:sz w:val="15"/>
              </w:rPr>
              <w:t>0.180</w:t>
            </w:r>
          </w:p>
        </w:tc>
        <w:tc>
          <w:tcPr>
            <w:tcW w:type="dxa" w:w="1721"/>
            <w:vAlign w:val="top"/>
          </w:tcPr>
          <w:p>
            <w:pPr>
              <w:spacing w:after="0" w:line="240" w:lineRule="auto"/>
            </w:pPr>
            <w:r/>
            <w:r>
              <w:rPr>
                <w:rFonts w:ascii="Times New Roman" w:hAnsi="Times New Roman" w:eastAsia="Times New Roman"/>
                <w:b w:val="0"/>
                <w:sz w:val="15"/>
              </w:rPr>
              <w:t>0.732</w:t>
            </w:r>
          </w:p>
        </w:tc>
        <w:tc>
          <w:tcPr>
            <w:tcW w:type="dxa" w:w="1721"/>
            <w:vAlign w:val="top"/>
          </w:tcPr>
          <w:p>
            <w:pPr>
              <w:spacing w:after="0" w:line="240" w:lineRule="auto"/>
            </w:pPr>
            <w:r/>
            <w:r>
              <w:rPr>
                <w:rFonts w:ascii="Times New Roman" w:hAnsi="Times New Roman" w:eastAsia="Times New Roman"/>
                <w:b w:val="0"/>
                <w:sz w:val="15"/>
              </w:rPr>
              <w:t>0.410</w:t>
            </w:r>
          </w:p>
        </w:tc>
      </w:tr>
      <w:tr>
        <w:tc>
          <w:tcPr>
            <w:tcW w:type="dxa" w:w="1721"/>
            <w:vAlign w:val="top"/>
          </w:tcPr>
          <w:p>
            <w:pPr>
              <w:spacing w:after="0" w:line="240" w:lineRule="auto"/>
            </w:pPr>
            <w:r/>
            <w:r>
              <w:rPr>
                <w:rFonts w:ascii="Times New Roman" w:hAnsi="Times New Roman" w:eastAsia="Times New Roman"/>
                <w:b w:val="0"/>
                <w:sz w:val="15"/>
              </w:rPr>
              <w:t>MLP notebook baseline</w:t>
            </w:r>
          </w:p>
        </w:tc>
        <w:tc>
          <w:tcPr>
            <w:tcW w:type="dxa" w:w="1721"/>
            <w:vAlign w:val="top"/>
          </w:tcPr>
          <w:p>
            <w:pPr>
              <w:spacing w:after="0" w:line="240" w:lineRule="auto"/>
            </w:pPr>
            <w:r/>
            <w:r>
              <w:rPr>
                <w:rFonts w:ascii="Times New Roman" w:hAnsi="Times New Roman" w:eastAsia="Times New Roman"/>
                <w:b w:val="0"/>
                <w:sz w:val="15"/>
              </w:rPr>
              <w:t>0.779</w:t>
            </w:r>
          </w:p>
        </w:tc>
        <w:tc>
          <w:tcPr>
            <w:tcW w:type="dxa" w:w="1721"/>
            <w:vAlign w:val="top"/>
          </w:tcPr>
          <w:p>
            <w:pPr>
              <w:spacing w:after="0" w:line="240" w:lineRule="auto"/>
            </w:pPr>
            <w:r/>
            <w:r>
              <w:rPr>
                <w:rFonts w:ascii="Times New Roman" w:hAnsi="Times New Roman" w:eastAsia="Times New Roman"/>
                <w:b w:val="0"/>
                <w:sz w:val="15"/>
              </w:rPr>
              <w:t>0.858</w:t>
            </w:r>
          </w:p>
        </w:tc>
        <w:tc>
          <w:tcPr>
            <w:tcW w:type="dxa" w:w="1721"/>
            <w:vAlign w:val="top"/>
          </w:tcPr>
          <w:p>
            <w:pPr>
              <w:spacing w:after="0" w:line="240" w:lineRule="auto"/>
            </w:pPr>
            <w:r/>
            <w:r>
              <w:rPr>
                <w:rFonts w:ascii="Times New Roman" w:hAnsi="Times New Roman" w:eastAsia="Times New Roman"/>
                <w:b w:val="0"/>
                <w:sz w:val="15"/>
              </w:rPr>
              <w:t>0.187</w:t>
            </w:r>
          </w:p>
        </w:tc>
        <w:tc>
          <w:tcPr>
            <w:tcW w:type="dxa" w:w="1721"/>
            <w:vAlign w:val="top"/>
          </w:tcPr>
          <w:p>
            <w:pPr>
              <w:spacing w:after="0" w:line="240" w:lineRule="auto"/>
            </w:pPr>
            <w:r/>
            <w:r>
              <w:rPr>
                <w:rFonts w:ascii="Times New Roman" w:hAnsi="Times New Roman" w:eastAsia="Times New Roman"/>
                <w:b w:val="0"/>
                <w:sz w:val="15"/>
              </w:rPr>
              <w:t>0.678</w:t>
            </w:r>
          </w:p>
        </w:tc>
        <w:tc>
          <w:tcPr>
            <w:tcW w:type="dxa" w:w="1721"/>
            <w:vAlign w:val="top"/>
          </w:tcPr>
          <w:p>
            <w:pPr>
              <w:spacing w:after="0" w:line="240" w:lineRule="auto"/>
            </w:pPr>
            <w:r/>
            <w:r>
              <w:rPr>
                <w:rFonts w:ascii="Times New Roman" w:hAnsi="Times New Roman" w:eastAsia="Times New Roman"/>
                <w:b w:val="0"/>
                <w:sz w:val="15"/>
              </w:rPr>
              <w:t>0.342</w:t>
            </w:r>
          </w:p>
        </w:tc>
      </w:tr>
    </w:tbl>
    <w:p>
      <w:pPr>
        <w:spacing w:before="40" w:after="40"/>
      </w:pPr>
      <w:r>
        <w:rPr>
          <w:rFonts w:ascii="Times New Roman" w:hAnsi="Times New Roman"/>
          <w:b/>
          <w:sz w:val="20"/>
        </w:rPr>
        <w:t>Table V. Held-Out Center Results for Selected Model</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75"/>
        <w:gridCol w:w="1475"/>
        <w:gridCol w:w="1475"/>
        <w:gridCol w:w="1475"/>
        <w:gridCol w:w="1475"/>
        <w:gridCol w:w="1475"/>
        <w:gridCol w:w="1475"/>
      </w:tblGrid>
      <w:tr>
        <w:tc>
          <w:tcPr>
            <w:tcW w:type="dxa" w:w="1475"/>
            <w:vAlign w:val="top"/>
          </w:tcPr>
          <w:p>
            <w:pPr>
              <w:spacing w:after="0" w:line="240" w:lineRule="auto"/>
            </w:pPr>
            <w:r/>
            <w:r>
              <w:rPr>
                <w:rFonts w:ascii="Times New Roman" w:hAnsi="Times New Roman" w:eastAsia="Times New Roman"/>
                <w:b/>
                <w:sz w:val="15"/>
              </w:rPr>
              <w:t>Center</w:t>
            </w:r>
          </w:p>
        </w:tc>
        <w:tc>
          <w:tcPr>
            <w:tcW w:type="dxa" w:w="1475"/>
            <w:vAlign w:val="top"/>
          </w:tcPr>
          <w:p>
            <w:pPr>
              <w:spacing w:after="0" w:line="240" w:lineRule="auto"/>
            </w:pPr>
            <w:r/>
            <w:r>
              <w:rPr>
                <w:rFonts w:ascii="Times New Roman" w:hAnsi="Times New Roman" w:eastAsia="Times New Roman"/>
                <w:b/>
                <w:sz w:val="15"/>
              </w:rPr>
              <w:t>AUROC</w:t>
            </w:r>
          </w:p>
        </w:tc>
        <w:tc>
          <w:tcPr>
            <w:tcW w:type="dxa" w:w="1475"/>
            <w:vAlign w:val="top"/>
          </w:tcPr>
          <w:p>
            <w:pPr>
              <w:spacing w:after="0" w:line="240" w:lineRule="auto"/>
            </w:pPr>
            <w:r/>
            <w:r>
              <w:rPr>
                <w:rFonts w:ascii="Times New Roman" w:hAnsi="Times New Roman" w:eastAsia="Times New Roman"/>
                <w:b/>
                <w:sz w:val="15"/>
              </w:rPr>
              <w:t>AUPRC</w:t>
            </w:r>
          </w:p>
        </w:tc>
        <w:tc>
          <w:tcPr>
            <w:tcW w:type="dxa" w:w="1475"/>
            <w:vAlign w:val="top"/>
          </w:tcPr>
          <w:p>
            <w:pPr>
              <w:spacing w:after="0" w:line="240" w:lineRule="auto"/>
            </w:pPr>
            <w:r/>
            <w:r>
              <w:rPr>
                <w:rFonts w:ascii="Times New Roman" w:hAnsi="Times New Roman" w:eastAsia="Times New Roman"/>
                <w:b/>
                <w:sz w:val="15"/>
              </w:rPr>
              <w:t>Brier</w:t>
            </w:r>
          </w:p>
        </w:tc>
        <w:tc>
          <w:tcPr>
            <w:tcW w:type="dxa" w:w="1475"/>
            <w:vAlign w:val="top"/>
          </w:tcPr>
          <w:p>
            <w:pPr>
              <w:spacing w:after="0" w:line="240" w:lineRule="auto"/>
            </w:pPr>
            <w:r/>
            <w:r>
              <w:rPr>
                <w:rFonts w:ascii="Times New Roman" w:hAnsi="Times New Roman" w:eastAsia="Times New Roman"/>
                <w:b/>
                <w:sz w:val="15"/>
              </w:rPr>
              <w:t>Bal. Acc.</w:t>
            </w:r>
          </w:p>
        </w:tc>
        <w:tc>
          <w:tcPr>
            <w:tcW w:type="dxa" w:w="1475"/>
            <w:vAlign w:val="top"/>
          </w:tcPr>
          <w:p>
            <w:pPr>
              <w:spacing w:after="0" w:line="240" w:lineRule="auto"/>
            </w:pPr>
            <w:r/>
            <w:r>
              <w:rPr>
                <w:rFonts w:ascii="Times New Roman" w:hAnsi="Times New Roman" w:eastAsia="Times New Roman"/>
                <w:b/>
                <w:sz w:val="15"/>
              </w:rPr>
              <w:t>Sens.</w:t>
            </w:r>
          </w:p>
        </w:tc>
        <w:tc>
          <w:tcPr>
            <w:tcW w:type="dxa" w:w="1475"/>
            <w:vAlign w:val="top"/>
          </w:tcPr>
          <w:p>
            <w:pPr>
              <w:spacing w:after="0" w:line="240" w:lineRule="auto"/>
            </w:pPr>
            <w:r/>
            <w:r>
              <w:rPr>
                <w:rFonts w:ascii="Times New Roman" w:hAnsi="Times New Roman" w:eastAsia="Times New Roman"/>
                <w:b/>
                <w:sz w:val="15"/>
              </w:rPr>
              <w:t>Spec.</w:t>
            </w:r>
          </w:p>
        </w:tc>
      </w:tr>
      <w:tr>
        <w:tc>
          <w:tcPr>
            <w:tcW w:type="dxa" w:w="1475"/>
            <w:vAlign w:val="top"/>
          </w:tcPr>
          <w:p>
            <w:pPr>
              <w:spacing w:after="0" w:line="240" w:lineRule="auto"/>
            </w:pPr>
            <w:r/>
            <w:r>
              <w:rPr>
                <w:rFonts w:ascii="Times New Roman" w:hAnsi="Times New Roman" w:eastAsia="Times New Roman"/>
                <w:b w:val="0"/>
                <w:sz w:val="15"/>
              </w:rPr>
              <w:t>Cleveland</w:t>
            </w:r>
          </w:p>
        </w:tc>
        <w:tc>
          <w:tcPr>
            <w:tcW w:type="dxa" w:w="1475"/>
            <w:vAlign w:val="top"/>
          </w:tcPr>
          <w:p>
            <w:pPr>
              <w:spacing w:after="0" w:line="240" w:lineRule="auto"/>
            </w:pPr>
            <w:r/>
            <w:r>
              <w:rPr>
                <w:rFonts w:ascii="Times New Roman" w:hAnsi="Times New Roman" w:eastAsia="Times New Roman"/>
                <w:b w:val="0"/>
                <w:sz w:val="15"/>
              </w:rPr>
              <w:t>0.867</w:t>
            </w:r>
          </w:p>
        </w:tc>
        <w:tc>
          <w:tcPr>
            <w:tcW w:type="dxa" w:w="1475"/>
            <w:vAlign w:val="top"/>
          </w:tcPr>
          <w:p>
            <w:pPr>
              <w:spacing w:after="0" w:line="240" w:lineRule="auto"/>
            </w:pPr>
            <w:r/>
            <w:r>
              <w:rPr>
                <w:rFonts w:ascii="Times New Roman" w:hAnsi="Times New Roman" w:eastAsia="Times New Roman"/>
                <w:b w:val="0"/>
                <w:sz w:val="15"/>
              </w:rPr>
              <w:t>0.867</w:t>
            </w:r>
          </w:p>
        </w:tc>
        <w:tc>
          <w:tcPr>
            <w:tcW w:type="dxa" w:w="1475"/>
            <w:vAlign w:val="top"/>
          </w:tcPr>
          <w:p>
            <w:pPr>
              <w:spacing w:after="0" w:line="240" w:lineRule="auto"/>
            </w:pPr>
            <w:r/>
            <w:r>
              <w:rPr>
                <w:rFonts w:ascii="Times New Roman" w:hAnsi="Times New Roman" w:eastAsia="Times New Roman"/>
                <w:b w:val="0"/>
                <w:sz w:val="15"/>
              </w:rPr>
              <w:t>0.145</w:t>
            </w:r>
          </w:p>
        </w:tc>
        <w:tc>
          <w:tcPr>
            <w:tcW w:type="dxa" w:w="1475"/>
            <w:vAlign w:val="top"/>
          </w:tcPr>
          <w:p>
            <w:pPr>
              <w:spacing w:after="0" w:line="240" w:lineRule="auto"/>
            </w:pPr>
            <w:r/>
            <w:r>
              <w:rPr>
                <w:rFonts w:ascii="Times New Roman" w:hAnsi="Times New Roman" w:eastAsia="Times New Roman"/>
                <w:b w:val="0"/>
                <w:sz w:val="15"/>
              </w:rPr>
              <w:t>0.802</w:t>
            </w:r>
          </w:p>
        </w:tc>
        <w:tc>
          <w:tcPr>
            <w:tcW w:type="dxa" w:w="1475"/>
            <w:vAlign w:val="top"/>
          </w:tcPr>
          <w:p>
            <w:pPr>
              <w:spacing w:after="0" w:line="240" w:lineRule="auto"/>
            </w:pPr>
            <w:r/>
            <w:r>
              <w:rPr>
                <w:rFonts w:ascii="Times New Roman" w:hAnsi="Times New Roman" w:eastAsia="Times New Roman"/>
                <w:b w:val="0"/>
                <w:sz w:val="15"/>
              </w:rPr>
              <w:t>0.755</w:t>
            </w:r>
          </w:p>
        </w:tc>
        <w:tc>
          <w:tcPr>
            <w:tcW w:type="dxa" w:w="1475"/>
            <w:vAlign w:val="top"/>
          </w:tcPr>
          <w:p>
            <w:pPr>
              <w:spacing w:after="0" w:line="240" w:lineRule="auto"/>
            </w:pPr>
            <w:r/>
            <w:r>
              <w:rPr>
                <w:rFonts w:ascii="Times New Roman" w:hAnsi="Times New Roman" w:eastAsia="Times New Roman"/>
                <w:b w:val="0"/>
                <w:sz w:val="15"/>
              </w:rPr>
              <w:t>0.848</w:t>
            </w:r>
          </w:p>
        </w:tc>
      </w:tr>
      <w:tr>
        <w:tc>
          <w:tcPr>
            <w:tcW w:type="dxa" w:w="1475"/>
            <w:vAlign w:val="top"/>
          </w:tcPr>
          <w:p>
            <w:pPr>
              <w:spacing w:after="0" w:line="240" w:lineRule="auto"/>
            </w:pPr>
            <w:r/>
            <w:r>
              <w:rPr>
                <w:rFonts w:ascii="Times New Roman" w:hAnsi="Times New Roman" w:eastAsia="Times New Roman"/>
                <w:b w:val="0"/>
                <w:sz w:val="15"/>
              </w:rPr>
              <w:t>Hungary</w:t>
            </w:r>
          </w:p>
        </w:tc>
        <w:tc>
          <w:tcPr>
            <w:tcW w:type="dxa" w:w="1475"/>
            <w:vAlign w:val="top"/>
          </w:tcPr>
          <w:p>
            <w:pPr>
              <w:spacing w:after="0" w:line="240" w:lineRule="auto"/>
            </w:pPr>
            <w:r/>
            <w:r>
              <w:rPr>
                <w:rFonts w:ascii="Times New Roman" w:hAnsi="Times New Roman" w:eastAsia="Times New Roman"/>
                <w:b w:val="0"/>
                <w:sz w:val="15"/>
              </w:rPr>
              <w:t>0.876</w:t>
            </w:r>
          </w:p>
        </w:tc>
        <w:tc>
          <w:tcPr>
            <w:tcW w:type="dxa" w:w="1475"/>
            <w:vAlign w:val="top"/>
          </w:tcPr>
          <w:p>
            <w:pPr>
              <w:spacing w:after="0" w:line="240" w:lineRule="auto"/>
            </w:pPr>
            <w:r/>
            <w:r>
              <w:rPr>
                <w:rFonts w:ascii="Times New Roman" w:hAnsi="Times New Roman" w:eastAsia="Times New Roman"/>
                <w:b w:val="0"/>
                <w:sz w:val="15"/>
              </w:rPr>
              <w:t>0.828</w:t>
            </w:r>
          </w:p>
        </w:tc>
        <w:tc>
          <w:tcPr>
            <w:tcW w:type="dxa" w:w="1475"/>
            <w:vAlign w:val="top"/>
          </w:tcPr>
          <w:p>
            <w:pPr>
              <w:spacing w:after="0" w:line="240" w:lineRule="auto"/>
            </w:pPr>
            <w:r/>
            <w:r>
              <w:rPr>
                <w:rFonts w:ascii="Times New Roman" w:hAnsi="Times New Roman" w:eastAsia="Times New Roman"/>
                <w:b w:val="0"/>
                <w:sz w:val="15"/>
              </w:rPr>
              <w:t>0.132</w:t>
            </w:r>
          </w:p>
        </w:tc>
        <w:tc>
          <w:tcPr>
            <w:tcW w:type="dxa" w:w="1475"/>
            <w:vAlign w:val="top"/>
          </w:tcPr>
          <w:p>
            <w:pPr>
              <w:spacing w:after="0" w:line="240" w:lineRule="auto"/>
            </w:pPr>
            <w:r/>
            <w:r>
              <w:rPr>
                <w:rFonts w:ascii="Times New Roman" w:hAnsi="Times New Roman" w:eastAsia="Times New Roman"/>
                <w:b w:val="0"/>
                <w:sz w:val="15"/>
              </w:rPr>
              <w:t>0.790</w:t>
            </w:r>
          </w:p>
        </w:tc>
        <w:tc>
          <w:tcPr>
            <w:tcW w:type="dxa" w:w="1475"/>
            <w:vAlign w:val="top"/>
          </w:tcPr>
          <w:p>
            <w:pPr>
              <w:spacing w:after="0" w:line="240" w:lineRule="auto"/>
            </w:pPr>
            <w:r/>
            <w:r>
              <w:rPr>
                <w:rFonts w:ascii="Times New Roman" w:hAnsi="Times New Roman" w:eastAsia="Times New Roman"/>
                <w:b w:val="0"/>
                <w:sz w:val="15"/>
              </w:rPr>
              <w:t>0.660</w:t>
            </w:r>
          </w:p>
        </w:tc>
        <w:tc>
          <w:tcPr>
            <w:tcW w:type="dxa" w:w="1475"/>
            <w:vAlign w:val="top"/>
          </w:tcPr>
          <w:p>
            <w:pPr>
              <w:spacing w:after="0" w:line="240" w:lineRule="auto"/>
            </w:pPr>
            <w:r/>
            <w:r>
              <w:rPr>
                <w:rFonts w:ascii="Times New Roman" w:hAnsi="Times New Roman" w:eastAsia="Times New Roman"/>
                <w:b w:val="0"/>
                <w:sz w:val="15"/>
              </w:rPr>
              <w:t>0.920</w:t>
            </w:r>
          </w:p>
        </w:tc>
      </w:tr>
      <w:tr>
        <w:tc>
          <w:tcPr>
            <w:tcW w:type="dxa" w:w="1475"/>
            <w:vAlign w:val="top"/>
          </w:tcPr>
          <w:p>
            <w:pPr>
              <w:spacing w:after="0" w:line="240" w:lineRule="auto"/>
            </w:pPr>
            <w:r/>
            <w:r>
              <w:rPr>
                <w:rFonts w:ascii="Times New Roman" w:hAnsi="Times New Roman" w:eastAsia="Times New Roman"/>
                <w:b w:val="0"/>
                <w:sz w:val="15"/>
              </w:rPr>
              <w:t>Switzerland</w:t>
            </w:r>
          </w:p>
        </w:tc>
        <w:tc>
          <w:tcPr>
            <w:tcW w:type="dxa" w:w="1475"/>
            <w:vAlign w:val="top"/>
          </w:tcPr>
          <w:p>
            <w:pPr>
              <w:spacing w:after="0" w:line="240" w:lineRule="auto"/>
            </w:pPr>
            <w:r/>
            <w:r>
              <w:rPr>
                <w:rFonts w:ascii="Times New Roman" w:hAnsi="Times New Roman" w:eastAsia="Times New Roman"/>
                <w:b w:val="0"/>
                <w:sz w:val="15"/>
              </w:rPr>
              <w:t>0.742</w:t>
            </w:r>
          </w:p>
        </w:tc>
        <w:tc>
          <w:tcPr>
            <w:tcW w:type="dxa" w:w="1475"/>
            <w:vAlign w:val="top"/>
          </w:tcPr>
          <w:p>
            <w:pPr>
              <w:spacing w:after="0" w:line="240" w:lineRule="auto"/>
            </w:pPr>
            <w:r/>
            <w:r>
              <w:rPr>
                <w:rFonts w:ascii="Times New Roman" w:hAnsi="Times New Roman" w:eastAsia="Times New Roman"/>
                <w:b w:val="0"/>
                <w:sz w:val="15"/>
              </w:rPr>
              <w:t>0.972</w:t>
            </w:r>
          </w:p>
        </w:tc>
        <w:tc>
          <w:tcPr>
            <w:tcW w:type="dxa" w:w="1475"/>
            <w:vAlign w:val="top"/>
          </w:tcPr>
          <w:p>
            <w:pPr>
              <w:spacing w:after="0" w:line="240" w:lineRule="auto"/>
            </w:pPr>
            <w:r/>
            <w:r>
              <w:rPr>
                <w:rFonts w:ascii="Times New Roman" w:hAnsi="Times New Roman" w:eastAsia="Times New Roman"/>
                <w:b w:val="0"/>
                <w:sz w:val="15"/>
              </w:rPr>
              <w:t>0.204</w:t>
            </w:r>
          </w:p>
        </w:tc>
        <w:tc>
          <w:tcPr>
            <w:tcW w:type="dxa" w:w="1475"/>
            <w:vAlign w:val="top"/>
          </w:tcPr>
          <w:p>
            <w:pPr>
              <w:spacing w:after="0" w:line="240" w:lineRule="auto"/>
            </w:pPr>
            <w:r/>
            <w:r>
              <w:rPr>
                <w:rFonts w:ascii="Times New Roman" w:hAnsi="Times New Roman" w:eastAsia="Times New Roman"/>
                <w:b w:val="0"/>
                <w:sz w:val="15"/>
              </w:rPr>
              <w:t>0.727</w:t>
            </w:r>
          </w:p>
        </w:tc>
        <w:tc>
          <w:tcPr>
            <w:tcW w:type="dxa" w:w="1475"/>
            <w:vAlign w:val="top"/>
          </w:tcPr>
          <w:p>
            <w:pPr>
              <w:spacing w:after="0" w:line="240" w:lineRule="auto"/>
            </w:pPr>
            <w:r/>
            <w:r>
              <w:rPr>
                <w:rFonts w:ascii="Times New Roman" w:hAnsi="Times New Roman" w:eastAsia="Times New Roman"/>
                <w:b w:val="0"/>
                <w:sz w:val="15"/>
              </w:rPr>
              <w:t>0.704</w:t>
            </w:r>
          </w:p>
        </w:tc>
        <w:tc>
          <w:tcPr>
            <w:tcW w:type="dxa" w:w="1475"/>
            <w:vAlign w:val="top"/>
          </w:tcPr>
          <w:p>
            <w:pPr>
              <w:spacing w:after="0" w:line="240" w:lineRule="auto"/>
            </w:pPr>
            <w:r/>
            <w:r>
              <w:rPr>
                <w:rFonts w:ascii="Times New Roman" w:hAnsi="Times New Roman" w:eastAsia="Times New Roman"/>
                <w:b w:val="0"/>
                <w:sz w:val="15"/>
              </w:rPr>
              <w:t>0.750</w:t>
            </w:r>
          </w:p>
        </w:tc>
      </w:tr>
      <w:tr>
        <w:tc>
          <w:tcPr>
            <w:tcW w:type="dxa" w:w="1475"/>
            <w:vAlign w:val="top"/>
          </w:tcPr>
          <w:p>
            <w:pPr>
              <w:spacing w:after="0" w:line="240" w:lineRule="auto"/>
            </w:pPr>
            <w:r/>
            <w:r>
              <w:rPr>
                <w:rFonts w:ascii="Times New Roman" w:hAnsi="Times New Roman" w:eastAsia="Times New Roman"/>
                <w:b w:val="0"/>
                <w:sz w:val="15"/>
              </w:rPr>
              <w:t>VA Long Beach</w:t>
            </w:r>
          </w:p>
        </w:tc>
        <w:tc>
          <w:tcPr>
            <w:tcW w:type="dxa" w:w="1475"/>
            <w:vAlign w:val="top"/>
          </w:tcPr>
          <w:p>
            <w:pPr>
              <w:spacing w:after="0" w:line="240" w:lineRule="auto"/>
            </w:pPr>
            <w:r/>
            <w:r>
              <w:rPr>
                <w:rFonts w:ascii="Times New Roman" w:hAnsi="Times New Roman" w:eastAsia="Times New Roman"/>
                <w:b w:val="0"/>
                <w:sz w:val="15"/>
              </w:rPr>
              <w:t>0.709</w:t>
            </w:r>
          </w:p>
        </w:tc>
        <w:tc>
          <w:tcPr>
            <w:tcW w:type="dxa" w:w="1475"/>
            <w:vAlign w:val="top"/>
          </w:tcPr>
          <w:p>
            <w:pPr>
              <w:spacing w:after="0" w:line="240" w:lineRule="auto"/>
            </w:pPr>
            <w:r/>
            <w:r>
              <w:rPr>
                <w:rFonts w:ascii="Times New Roman" w:hAnsi="Times New Roman" w:eastAsia="Times New Roman"/>
                <w:b w:val="0"/>
                <w:sz w:val="15"/>
              </w:rPr>
              <w:t>0.853</w:t>
            </w:r>
          </w:p>
        </w:tc>
        <w:tc>
          <w:tcPr>
            <w:tcW w:type="dxa" w:w="1475"/>
            <w:vAlign w:val="top"/>
          </w:tcPr>
          <w:p>
            <w:pPr>
              <w:spacing w:after="0" w:line="240" w:lineRule="auto"/>
            </w:pPr>
            <w:r/>
            <w:r>
              <w:rPr>
                <w:rFonts w:ascii="Times New Roman" w:hAnsi="Times New Roman" w:eastAsia="Times New Roman"/>
                <w:b w:val="0"/>
                <w:sz w:val="15"/>
              </w:rPr>
              <w:t>0.189</w:t>
            </w:r>
          </w:p>
        </w:tc>
        <w:tc>
          <w:tcPr>
            <w:tcW w:type="dxa" w:w="1475"/>
            <w:vAlign w:val="top"/>
          </w:tcPr>
          <w:p>
            <w:pPr>
              <w:spacing w:after="0" w:line="240" w:lineRule="auto"/>
            </w:pPr>
            <w:r/>
            <w:r>
              <w:rPr>
                <w:rFonts w:ascii="Times New Roman" w:hAnsi="Times New Roman" w:eastAsia="Times New Roman"/>
                <w:b w:val="0"/>
                <w:sz w:val="15"/>
              </w:rPr>
              <w:t>0.660</w:t>
            </w:r>
          </w:p>
        </w:tc>
        <w:tc>
          <w:tcPr>
            <w:tcW w:type="dxa" w:w="1475"/>
            <w:vAlign w:val="top"/>
          </w:tcPr>
          <w:p>
            <w:pPr>
              <w:spacing w:after="0" w:line="240" w:lineRule="auto"/>
            </w:pPr>
            <w:r/>
            <w:r>
              <w:rPr>
                <w:rFonts w:ascii="Times New Roman" w:hAnsi="Times New Roman" w:eastAsia="Times New Roman"/>
                <w:b w:val="0"/>
                <w:sz w:val="15"/>
              </w:rPr>
              <w:t>0.772</w:t>
            </w:r>
          </w:p>
        </w:tc>
        <w:tc>
          <w:tcPr>
            <w:tcW w:type="dxa" w:w="1475"/>
            <w:vAlign w:val="top"/>
          </w:tcPr>
          <w:p>
            <w:pPr>
              <w:spacing w:after="0" w:line="240" w:lineRule="auto"/>
            </w:pPr>
            <w:r/>
            <w:r>
              <w:rPr>
                <w:rFonts w:ascii="Times New Roman" w:hAnsi="Times New Roman" w:eastAsia="Times New Roman"/>
                <w:b w:val="0"/>
                <w:sz w:val="15"/>
              </w:rPr>
              <w:t>0.549</w:t>
            </w:r>
          </w:p>
        </w:tc>
      </w:tr>
    </w:tbl>
    <w:p>
      <w:pPr>
        <w:spacing w:before="40" w:after="40"/>
      </w:pPr>
      <w:r>
        <w:rPr>
          <w:rFonts w:ascii="Times New Roman" w:hAnsi="Times New Roman"/>
          <w:b/>
          <w:sz w:val="20"/>
        </w:rPr>
        <w:t>Table VI. Bootstrap Confidence Intervals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42"/>
        <w:gridCol w:w="3442"/>
        <w:gridCol w:w="3442"/>
      </w:tblGrid>
      <w:tr>
        <w:tc>
          <w:tcPr>
            <w:tcW w:type="dxa" w:w="3442"/>
            <w:vAlign w:val="top"/>
          </w:tcPr>
          <w:p>
            <w:pPr>
              <w:spacing w:after="0" w:line="240" w:lineRule="auto"/>
            </w:pPr>
            <w:r/>
            <w:r>
              <w:rPr>
                <w:rFonts w:ascii="Times New Roman" w:hAnsi="Times New Roman" w:eastAsia="Times New Roman"/>
                <w:b/>
                <w:sz w:val="15"/>
              </w:rPr>
              <w:t>Metric</w:t>
            </w:r>
          </w:p>
        </w:tc>
        <w:tc>
          <w:tcPr>
            <w:tcW w:type="dxa" w:w="3442"/>
            <w:vAlign w:val="top"/>
          </w:tcPr>
          <w:p>
            <w:pPr>
              <w:spacing w:after="0" w:line="240" w:lineRule="auto"/>
            </w:pPr>
            <w:r/>
            <w:r>
              <w:rPr>
                <w:rFonts w:ascii="Times New Roman" w:hAnsi="Times New Roman" w:eastAsia="Times New Roman"/>
                <w:b/>
                <w:sz w:val="15"/>
              </w:rPr>
              <w:t>Estimate</w:t>
            </w:r>
          </w:p>
        </w:tc>
        <w:tc>
          <w:tcPr>
            <w:tcW w:type="dxa" w:w="3442"/>
            <w:vAlign w:val="top"/>
          </w:tcPr>
          <w:p>
            <w:pPr>
              <w:spacing w:after="0" w:line="240" w:lineRule="auto"/>
            </w:pPr>
            <w:r/>
            <w:r>
              <w:rPr>
                <w:rFonts w:ascii="Times New Roman" w:hAnsi="Times New Roman" w:eastAsia="Times New Roman"/>
                <w:b/>
                <w:sz w:val="15"/>
              </w:rPr>
              <w:t>95% CI</w:t>
            </w:r>
          </w:p>
        </w:tc>
      </w:tr>
      <w:tr>
        <w:tc>
          <w:tcPr>
            <w:tcW w:type="dxa" w:w="3442"/>
            <w:vAlign w:val="top"/>
          </w:tcPr>
          <w:p>
            <w:pPr>
              <w:spacing w:after="0" w:line="240" w:lineRule="auto"/>
            </w:pPr>
            <w:r/>
            <w:r>
              <w:rPr>
                <w:rFonts w:ascii="Times New Roman" w:hAnsi="Times New Roman" w:eastAsia="Times New Roman"/>
                <w:b w:val="0"/>
                <w:sz w:val="15"/>
              </w:rPr>
              <w:t>Auroc</w:t>
            </w:r>
          </w:p>
        </w:tc>
        <w:tc>
          <w:tcPr>
            <w:tcW w:type="dxa" w:w="3442"/>
            <w:vAlign w:val="top"/>
          </w:tcPr>
          <w:p>
            <w:pPr>
              <w:spacing w:after="0" w:line="240" w:lineRule="auto"/>
            </w:pPr>
            <w:r/>
            <w:r>
              <w:rPr>
                <w:rFonts w:ascii="Times New Roman" w:hAnsi="Times New Roman" w:eastAsia="Times New Roman"/>
                <w:b w:val="0"/>
                <w:sz w:val="15"/>
              </w:rPr>
              <w:t>0.855</w:t>
            </w:r>
          </w:p>
        </w:tc>
        <w:tc>
          <w:tcPr>
            <w:tcW w:type="dxa" w:w="3442"/>
            <w:vAlign w:val="top"/>
          </w:tcPr>
          <w:p>
            <w:pPr>
              <w:spacing w:after="0" w:line="240" w:lineRule="auto"/>
            </w:pPr>
            <w:r/>
            <w:r>
              <w:rPr>
                <w:rFonts w:ascii="Times New Roman" w:hAnsi="Times New Roman" w:eastAsia="Times New Roman"/>
                <w:b w:val="0"/>
                <w:sz w:val="15"/>
              </w:rPr>
              <w:t>0.828-0.878</w:t>
            </w:r>
          </w:p>
        </w:tc>
      </w:tr>
      <w:tr>
        <w:tc>
          <w:tcPr>
            <w:tcW w:type="dxa" w:w="3442"/>
            <w:vAlign w:val="top"/>
          </w:tcPr>
          <w:p>
            <w:pPr>
              <w:spacing w:after="0" w:line="240" w:lineRule="auto"/>
            </w:pPr>
            <w:r/>
            <w:r>
              <w:rPr>
                <w:rFonts w:ascii="Times New Roman" w:hAnsi="Times New Roman" w:eastAsia="Times New Roman"/>
                <w:b w:val="0"/>
                <w:sz w:val="15"/>
              </w:rPr>
              <w:t>Auprc</w:t>
            </w:r>
          </w:p>
        </w:tc>
        <w:tc>
          <w:tcPr>
            <w:tcW w:type="dxa" w:w="3442"/>
            <w:vAlign w:val="top"/>
          </w:tcPr>
          <w:p>
            <w:pPr>
              <w:spacing w:after="0" w:line="240" w:lineRule="auto"/>
            </w:pPr>
            <w:r/>
            <w:r>
              <w:rPr>
                <w:rFonts w:ascii="Times New Roman" w:hAnsi="Times New Roman" w:eastAsia="Times New Roman"/>
                <w:b w:val="0"/>
                <w:sz w:val="15"/>
              </w:rPr>
              <w:t>0.864</w:t>
            </w:r>
          </w:p>
        </w:tc>
        <w:tc>
          <w:tcPr>
            <w:tcW w:type="dxa" w:w="3442"/>
            <w:vAlign w:val="top"/>
          </w:tcPr>
          <w:p>
            <w:pPr>
              <w:spacing w:after="0" w:line="240" w:lineRule="auto"/>
            </w:pPr>
            <w:r/>
            <w:r>
              <w:rPr>
                <w:rFonts w:ascii="Times New Roman" w:hAnsi="Times New Roman" w:eastAsia="Times New Roman"/>
                <w:b w:val="0"/>
                <w:sz w:val="15"/>
              </w:rPr>
              <w:t>0.825-0.893</w:t>
            </w:r>
          </w:p>
        </w:tc>
      </w:tr>
      <w:tr>
        <w:tc>
          <w:tcPr>
            <w:tcW w:type="dxa" w:w="3442"/>
            <w:vAlign w:val="top"/>
          </w:tcPr>
          <w:p>
            <w:pPr>
              <w:spacing w:after="0" w:line="240" w:lineRule="auto"/>
            </w:pPr>
            <w:r/>
            <w:r>
              <w:rPr>
                <w:rFonts w:ascii="Times New Roman" w:hAnsi="Times New Roman" w:eastAsia="Times New Roman"/>
                <w:b w:val="0"/>
                <w:sz w:val="15"/>
              </w:rPr>
              <w:t>Balanced Accuracy</w:t>
            </w:r>
          </w:p>
        </w:tc>
        <w:tc>
          <w:tcPr>
            <w:tcW w:type="dxa" w:w="3442"/>
            <w:vAlign w:val="top"/>
          </w:tcPr>
          <w:p>
            <w:pPr>
              <w:spacing w:after="0" w:line="240" w:lineRule="auto"/>
            </w:pPr>
            <w:r/>
            <w:r>
              <w:rPr>
                <w:rFonts w:ascii="Times New Roman" w:hAnsi="Times New Roman" w:eastAsia="Times New Roman"/>
                <w:b w:val="0"/>
                <w:sz w:val="15"/>
              </w:rPr>
              <w:t>0.785</w:t>
            </w:r>
          </w:p>
        </w:tc>
        <w:tc>
          <w:tcPr>
            <w:tcW w:type="dxa" w:w="3442"/>
            <w:vAlign w:val="top"/>
          </w:tcPr>
          <w:p>
            <w:pPr>
              <w:spacing w:after="0" w:line="240" w:lineRule="auto"/>
            </w:pPr>
            <w:r/>
            <w:r>
              <w:rPr>
                <w:rFonts w:ascii="Times New Roman" w:hAnsi="Times New Roman" w:eastAsia="Times New Roman"/>
                <w:b w:val="0"/>
                <w:sz w:val="15"/>
              </w:rPr>
              <w:t>0.756-0.811</w:t>
            </w:r>
          </w:p>
        </w:tc>
      </w:tr>
      <w:tr>
        <w:tc>
          <w:tcPr>
            <w:tcW w:type="dxa" w:w="3442"/>
            <w:vAlign w:val="top"/>
          </w:tcPr>
          <w:p>
            <w:pPr>
              <w:spacing w:after="0" w:line="240" w:lineRule="auto"/>
            </w:pPr>
            <w:r/>
            <w:r>
              <w:rPr>
                <w:rFonts w:ascii="Times New Roman" w:hAnsi="Times New Roman" w:eastAsia="Times New Roman"/>
                <w:b w:val="0"/>
                <w:sz w:val="15"/>
              </w:rPr>
              <w:t>Brier</w:t>
            </w:r>
          </w:p>
        </w:tc>
        <w:tc>
          <w:tcPr>
            <w:tcW w:type="dxa" w:w="3442"/>
            <w:vAlign w:val="top"/>
          </w:tcPr>
          <w:p>
            <w:pPr>
              <w:spacing w:after="0" w:line="240" w:lineRule="auto"/>
            </w:pPr>
            <w:r/>
            <w:r>
              <w:rPr>
                <w:rFonts w:ascii="Times New Roman" w:hAnsi="Times New Roman" w:eastAsia="Times New Roman"/>
                <w:b w:val="0"/>
                <w:sz w:val="15"/>
              </w:rPr>
              <w:t>0.159</w:t>
            </w:r>
          </w:p>
        </w:tc>
        <w:tc>
          <w:tcPr>
            <w:tcW w:type="dxa" w:w="3442"/>
            <w:vAlign w:val="top"/>
          </w:tcPr>
          <w:p>
            <w:pPr>
              <w:spacing w:after="0" w:line="240" w:lineRule="auto"/>
            </w:pPr>
            <w:r/>
            <w:r>
              <w:rPr>
                <w:rFonts w:ascii="Times New Roman" w:hAnsi="Times New Roman" w:eastAsia="Times New Roman"/>
                <w:b w:val="0"/>
                <w:sz w:val="15"/>
              </w:rPr>
              <w:t>0.145-0.173</w:t>
            </w:r>
          </w:p>
        </w:tc>
      </w:tr>
      <w:tr>
        <w:tc>
          <w:tcPr>
            <w:tcW w:type="dxa" w:w="3442"/>
            <w:vAlign w:val="top"/>
          </w:tcPr>
          <w:p>
            <w:pPr>
              <w:spacing w:after="0" w:line="240" w:lineRule="auto"/>
            </w:pPr>
            <w:r/>
            <w:r>
              <w:rPr>
                <w:rFonts w:ascii="Times New Roman" w:hAnsi="Times New Roman" w:eastAsia="Times New Roman"/>
                <w:b w:val="0"/>
                <w:sz w:val="15"/>
              </w:rPr>
              <w:t>Sensitivity</w:t>
            </w:r>
          </w:p>
        </w:tc>
        <w:tc>
          <w:tcPr>
            <w:tcW w:type="dxa" w:w="3442"/>
            <w:vAlign w:val="top"/>
          </w:tcPr>
          <w:p>
            <w:pPr>
              <w:spacing w:after="0" w:line="240" w:lineRule="auto"/>
            </w:pPr>
            <w:r/>
            <w:r>
              <w:rPr>
                <w:rFonts w:ascii="Times New Roman" w:hAnsi="Times New Roman" w:eastAsia="Times New Roman"/>
                <w:b w:val="0"/>
                <w:sz w:val="15"/>
              </w:rPr>
              <w:t>0.729</w:t>
            </w:r>
          </w:p>
        </w:tc>
        <w:tc>
          <w:tcPr>
            <w:tcW w:type="dxa" w:w="3442"/>
            <w:vAlign w:val="top"/>
          </w:tcPr>
          <w:p>
            <w:pPr>
              <w:spacing w:after="0" w:line="240" w:lineRule="auto"/>
            </w:pPr>
            <w:r/>
            <w:r>
              <w:rPr>
                <w:rFonts w:ascii="Times New Roman" w:hAnsi="Times New Roman" w:eastAsia="Times New Roman"/>
                <w:b w:val="0"/>
                <w:sz w:val="15"/>
              </w:rPr>
              <w:t>0.690-0.766</w:t>
            </w:r>
          </w:p>
        </w:tc>
      </w:tr>
      <w:tr>
        <w:tc>
          <w:tcPr>
            <w:tcW w:type="dxa" w:w="3442"/>
            <w:vAlign w:val="top"/>
          </w:tcPr>
          <w:p>
            <w:pPr>
              <w:spacing w:after="0" w:line="240" w:lineRule="auto"/>
            </w:pPr>
            <w:r/>
            <w:r>
              <w:rPr>
                <w:rFonts w:ascii="Times New Roman" w:hAnsi="Times New Roman" w:eastAsia="Times New Roman"/>
                <w:b w:val="0"/>
                <w:sz w:val="15"/>
              </w:rPr>
              <w:t>Specificity</w:t>
            </w:r>
          </w:p>
        </w:tc>
        <w:tc>
          <w:tcPr>
            <w:tcW w:type="dxa" w:w="3442"/>
            <w:vAlign w:val="top"/>
          </w:tcPr>
          <w:p>
            <w:pPr>
              <w:spacing w:after="0" w:line="240" w:lineRule="auto"/>
            </w:pPr>
            <w:r/>
            <w:r>
              <w:rPr>
                <w:rFonts w:ascii="Times New Roman" w:hAnsi="Times New Roman" w:eastAsia="Times New Roman"/>
                <w:b w:val="0"/>
                <w:sz w:val="15"/>
              </w:rPr>
              <w:t>0.842</w:t>
            </w:r>
          </w:p>
        </w:tc>
        <w:tc>
          <w:tcPr>
            <w:tcW w:type="dxa" w:w="3442"/>
            <w:vAlign w:val="top"/>
          </w:tcPr>
          <w:p>
            <w:pPr>
              <w:spacing w:after="0" w:line="240" w:lineRule="auto"/>
            </w:pPr>
            <w:r/>
            <w:r>
              <w:rPr>
                <w:rFonts w:ascii="Times New Roman" w:hAnsi="Times New Roman" w:eastAsia="Times New Roman"/>
                <w:b w:val="0"/>
                <w:sz w:val="15"/>
              </w:rPr>
              <w:t>0.804-0.875</w:t>
            </w:r>
          </w:p>
        </w:tc>
      </w:tr>
    </w:tbl>
    <w:p>
      <w:pPr>
        <w:spacing w:before="40" w:after="40"/>
      </w:pPr>
      <w:r>
        <w:rPr>
          <w:rFonts w:ascii="Times New Roman" w:hAnsi="Times New Roman"/>
          <w:b/>
          <w:sz w:val="20"/>
        </w:rPr>
        <w:t>Table VII. Threshold Operating Points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75"/>
        <w:gridCol w:w="1475"/>
        <w:gridCol w:w="1475"/>
        <w:gridCol w:w="1475"/>
        <w:gridCol w:w="1475"/>
        <w:gridCol w:w="1475"/>
        <w:gridCol w:w="1475"/>
      </w:tblGrid>
      <w:tr>
        <w:tc>
          <w:tcPr>
            <w:tcW w:type="dxa" w:w="1475"/>
            <w:vAlign w:val="top"/>
          </w:tcPr>
          <w:p>
            <w:pPr>
              <w:spacing w:after="0" w:line="240" w:lineRule="auto"/>
            </w:pPr>
            <w:r/>
            <w:r>
              <w:rPr>
                <w:rFonts w:ascii="Times New Roman" w:hAnsi="Times New Roman" w:eastAsia="Times New Roman"/>
                <w:b/>
                <w:sz w:val="15"/>
              </w:rPr>
              <w:t>Thr.</w:t>
            </w:r>
          </w:p>
        </w:tc>
        <w:tc>
          <w:tcPr>
            <w:tcW w:type="dxa" w:w="1475"/>
            <w:vAlign w:val="top"/>
          </w:tcPr>
          <w:p>
            <w:pPr>
              <w:spacing w:after="0" w:line="240" w:lineRule="auto"/>
            </w:pPr>
            <w:r/>
            <w:r>
              <w:rPr>
                <w:rFonts w:ascii="Times New Roman" w:hAnsi="Times New Roman" w:eastAsia="Times New Roman"/>
                <w:b/>
                <w:sz w:val="15"/>
              </w:rPr>
              <w:t>Sens.</w:t>
            </w:r>
          </w:p>
        </w:tc>
        <w:tc>
          <w:tcPr>
            <w:tcW w:type="dxa" w:w="1475"/>
            <w:vAlign w:val="top"/>
          </w:tcPr>
          <w:p>
            <w:pPr>
              <w:spacing w:after="0" w:line="240" w:lineRule="auto"/>
            </w:pPr>
            <w:r/>
            <w:r>
              <w:rPr>
                <w:rFonts w:ascii="Times New Roman" w:hAnsi="Times New Roman" w:eastAsia="Times New Roman"/>
                <w:b/>
                <w:sz w:val="15"/>
              </w:rPr>
              <w:t>Spec.</w:t>
            </w:r>
          </w:p>
        </w:tc>
        <w:tc>
          <w:tcPr>
            <w:tcW w:type="dxa" w:w="1475"/>
            <w:vAlign w:val="top"/>
          </w:tcPr>
          <w:p>
            <w:pPr>
              <w:spacing w:after="0" w:line="240" w:lineRule="auto"/>
            </w:pPr>
            <w:r/>
            <w:r>
              <w:rPr>
                <w:rFonts w:ascii="Times New Roman" w:hAnsi="Times New Roman" w:eastAsia="Times New Roman"/>
                <w:b/>
                <w:sz w:val="15"/>
              </w:rPr>
              <w:t>PPV</w:t>
            </w:r>
          </w:p>
        </w:tc>
        <w:tc>
          <w:tcPr>
            <w:tcW w:type="dxa" w:w="1475"/>
            <w:vAlign w:val="top"/>
          </w:tcPr>
          <w:p>
            <w:pPr>
              <w:spacing w:after="0" w:line="240" w:lineRule="auto"/>
            </w:pPr>
            <w:r/>
            <w:r>
              <w:rPr>
                <w:rFonts w:ascii="Times New Roman" w:hAnsi="Times New Roman" w:eastAsia="Times New Roman"/>
                <w:b/>
                <w:sz w:val="15"/>
              </w:rPr>
              <w:t>NPV</w:t>
            </w:r>
          </w:p>
        </w:tc>
        <w:tc>
          <w:tcPr>
            <w:tcW w:type="dxa" w:w="1475"/>
            <w:vAlign w:val="top"/>
          </w:tcPr>
          <w:p>
            <w:pPr>
              <w:spacing w:after="0" w:line="240" w:lineRule="auto"/>
            </w:pPr>
            <w:r/>
            <w:r>
              <w:rPr>
                <w:rFonts w:ascii="Times New Roman" w:hAnsi="Times New Roman" w:eastAsia="Times New Roman"/>
                <w:b/>
                <w:sz w:val="15"/>
              </w:rPr>
              <w:t>Bal. Acc.</w:t>
            </w:r>
          </w:p>
        </w:tc>
        <w:tc>
          <w:tcPr>
            <w:tcW w:type="dxa" w:w="1475"/>
            <w:vAlign w:val="top"/>
          </w:tcPr>
          <w:p>
            <w:pPr>
              <w:spacing w:after="0" w:line="240" w:lineRule="auto"/>
            </w:pPr>
            <w:r/>
            <w:r>
              <w:rPr>
                <w:rFonts w:ascii="Times New Roman" w:hAnsi="Times New Roman" w:eastAsia="Times New Roman"/>
                <w:b/>
                <w:sz w:val="15"/>
              </w:rPr>
              <w:t>MCC</w:t>
            </w:r>
          </w:p>
        </w:tc>
      </w:tr>
      <w:tr>
        <w:tc>
          <w:tcPr>
            <w:tcW w:type="dxa" w:w="1475"/>
            <w:vAlign w:val="top"/>
          </w:tcPr>
          <w:p>
            <w:pPr>
              <w:spacing w:after="0" w:line="240" w:lineRule="auto"/>
            </w:pPr>
            <w:r/>
            <w:r>
              <w:rPr>
                <w:rFonts w:ascii="Times New Roman" w:hAnsi="Times New Roman" w:eastAsia="Times New Roman"/>
                <w:b w:val="0"/>
                <w:sz w:val="15"/>
              </w:rPr>
              <w:t>0.300</w:t>
            </w:r>
          </w:p>
        </w:tc>
        <w:tc>
          <w:tcPr>
            <w:tcW w:type="dxa" w:w="1475"/>
            <w:vAlign w:val="top"/>
          </w:tcPr>
          <w:p>
            <w:pPr>
              <w:spacing w:after="0" w:line="240" w:lineRule="auto"/>
            </w:pPr>
            <w:r/>
            <w:r>
              <w:rPr>
                <w:rFonts w:ascii="Times New Roman" w:hAnsi="Times New Roman" w:eastAsia="Times New Roman"/>
                <w:b w:val="0"/>
                <w:sz w:val="15"/>
              </w:rPr>
              <w:t>0.876</w:t>
            </w:r>
          </w:p>
        </w:tc>
        <w:tc>
          <w:tcPr>
            <w:tcW w:type="dxa" w:w="1475"/>
            <w:vAlign w:val="top"/>
          </w:tcPr>
          <w:p>
            <w:pPr>
              <w:spacing w:after="0" w:line="240" w:lineRule="auto"/>
            </w:pPr>
            <w:r/>
            <w:r>
              <w:rPr>
                <w:rFonts w:ascii="Times New Roman" w:hAnsi="Times New Roman" w:eastAsia="Times New Roman"/>
                <w:b w:val="0"/>
                <w:sz w:val="15"/>
              </w:rPr>
              <w:t>0.637</w:t>
            </w:r>
          </w:p>
        </w:tc>
        <w:tc>
          <w:tcPr>
            <w:tcW w:type="dxa" w:w="1475"/>
            <w:vAlign w:val="top"/>
          </w:tcPr>
          <w:p>
            <w:pPr>
              <w:spacing w:after="0" w:line="240" w:lineRule="auto"/>
            </w:pPr>
            <w:r/>
            <w:r>
              <w:rPr>
                <w:rFonts w:ascii="Times New Roman" w:hAnsi="Times New Roman" w:eastAsia="Times New Roman"/>
                <w:b w:val="0"/>
                <w:sz w:val="15"/>
              </w:rPr>
              <w:t>0.750</w:t>
            </w:r>
          </w:p>
        </w:tc>
        <w:tc>
          <w:tcPr>
            <w:tcW w:type="dxa" w:w="1475"/>
            <w:vAlign w:val="top"/>
          </w:tcPr>
          <w:p>
            <w:pPr>
              <w:spacing w:after="0" w:line="240" w:lineRule="auto"/>
            </w:pPr>
            <w:r/>
            <w:r>
              <w:rPr>
                <w:rFonts w:ascii="Times New Roman" w:hAnsi="Times New Roman" w:eastAsia="Times New Roman"/>
                <w:b w:val="0"/>
                <w:sz w:val="15"/>
              </w:rPr>
              <w:t>0.806</w:t>
            </w:r>
          </w:p>
        </w:tc>
        <w:tc>
          <w:tcPr>
            <w:tcW w:type="dxa" w:w="1475"/>
            <w:vAlign w:val="top"/>
          </w:tcPr>
          <w:p>
            <w:pPr>
              <w:spacing w:after="0" w:line="240" w:lineRule="auto"/>
            </w:pPr>
            <w:r/>
            <w:r>
              <w:rPr>
                <w:rFonts w:ascii="Times New Roman" w:hAnsi="Times New Roman" w:eastAsia="Times New Roman"/>
                <w:b w:val="0"/>
                <w:sz w:val="15"/>
              </w:rPr>
              <w:t>0.757</w:t>
            </w:r>
          </w:p>
        </w:tc>
        <w:tc>
          <w:tcPr>
            <w:tcW w:type="dxa" w:w="1475"/>
            <w:vAlign w:val="top"/>
          </w:tcPr>
          <w:p>
            <w:pPr>
              <w:spacing w:after="0" w:line="240" w:lineRule="auto"/>
            </w:pPr>
            <w:r/>
            <w:r>
              <w:rPr>
                <w:rFonts w:ascii="Times New Roman" w:hAnsi="Times New Roman" w:eastAsia="Times New Roman"/>
                <w:b w:val="0"/>
                <w:sz w:val="15"/>
              </w:rPr>
              <w:t>0.534</w:t>
            </w:r>
          </w:p>
        </w:tc>
      </w:tr>
      <w:tr>
        <w:tc>
          <w:tcPr>
            <w:tcW w:type="dxa" w:w="1475"/>
            <w:vAlign w:val="top"/>
          </w:tcPr>
          <w:p>
            <w:pPr>
              <w:spacing w:after="0" w:line="240" w:lineRule="auto"/>
            </w:pPr>
            <w:r/>
            <w:r>
              <w:rPr>
                <w:rFonts w:ascii="Times New Roman" w:hAnsi="Times New Roman" w:eastAsia="Times New Roman"/>
                <w:b w:val="0"/>
                <w:sz w:val="15"/>
              </w:rPr>
              <w:t>0.500</w:t>
            </w:r>
          </w:p>
        </w:tc>
        <w:tc>
          <w:tcPr>
            <w:tcW w:type="dxa" w:w="1475"/>
            <w:vAlign w:val="top"/>
          </w:tcPr>
          <w:p>
            <w:pPr>
              <w:spacing w:after="0" w:line="240" w:lineRule="auto"/>
            </w:pPr>
            <w:r/>
            <w:r>
              <w:rPr>
                <w:rFonts w:ascii="Times New Roman" w:hAnsi="Times New Roman" w:eastAsia="Times New Roman"/>
                <w:b w:val="0"/>
                <w:sz w:val="15"/>
              </w:rPr>
              <w:t>0.729</w:t>
            </w:r>
          </w:p>
        </w:tc>
        <w:tc>
          <w:tcPr>
            <w:tcW w:type="dxa" w:w="1475"/>
            <w:vAlign w:val="top"/>
          </w:tcPr>
          <w:p>
            <w:pPr>
              <w:spacing w:after="0" w:line="240" w:lineRule="auto"/>
            </w:pPr>
            <w:r/>
            <w:r>
              <w:rPr>
                <w:rFonts w:ascii="Times New Roman" w:hAnsi="Times New Roman" w:eastAsia="Times New Roman"/>
                <w:b w:val="0"/>
                <w:sz w:val="15"/>
              </w:rPr>
              <w:t>0.842</w:t>
            </w:r>
          </w:p>
        </w:tc>
        <w:tc>
          <w:tcPr>
            <w:tcW w:type="dxa" w:w="1475"/>
            <w:vAlign w:val="top"/>
          </w:tcPr>
          <w:p>
            <w:pPr>
              <w:spacing w:after="0" w:line="240" w:lineRule="auto"/>
            </w:pPr>
            <w:r/>
            <w:r>
              <w:rPr>
                <w:rFonts w:ascii="Times New Roman" w:hAnsi="Times New Roman" w:eastAsia="Times New Roman"/>
                <w:b w:val="0"/>
                <w:sz w:val="15"/>
              </w:rPr>
              <w:t>0.851</w:t>
            </w:r>
          </w:p>
        </w:tc>
        <w:tc>
          <w:tcPr>
            <w:tcW w:type="dxa" w:w="1475"/>
            <w:vAlign w:val="top"/>
          </w:tcPr>
          <w:p>
            <w:pPr>
              <w:spacing w:after="0" w:line="240" w:lineRule="auto"/>
            </w:pPr>
            <w:r/>
            <w:r>
              <w:rPr>
                <w:rFonts w:ascii="Times New Roman" w:hAnsi="Times New Roman" w:eastAsia="Times New Roman"/>
                <w:b w:val="0"/>
                <w:sz w:val="15"/>
              </w:rPr>
              <w:t>0.715</w:t>
            </w:r>
          </w:p>
        </w:tc>
        <w:tc>
          <w:tcPr>
            <w:tcW w:type="dxa" w:w="1475"/>
            <w:vAlign w:val="top"/>
          </w:tcPr>
          <w:p>
            <w:pPr>
              <w:spacing w:after="0" w:line="240" w:lineRule="auto"/>
            </w:pPr>
            <w:r/>
            <w:r>
              <w:rPr>
                <w:rFonts w:ascii="Times New Roman" w:hAnsi="Times New Roman" w:eastAsia="Times New Roman"/>
                <w:b w:val="0"/>
                <w:sz w:val="15"/>
              </w:rPr>
              <w:t>0.785</w:t>
            </w:r>
          </w:p>
        </w:tc>
        <w:tc>
          <w:tcPr>
            <w:tcW w:type="dxa" w:w="1475"/>
            <w:vAlign w:val="top"/>
          </w:tcPr>
          <w:p>
            <w:pPr>
              <w:spacing w:after="0" w:line="240" w:lineRule="auto"/>
            </w:pPr>
            <w:r/>
            <w:r>
              <w:rPr>
                <w:rFonts w:ascii="Times New Roman" w:hAnsi="Times New Roman" w:eastAsia="Times New Roman"/>
                <w:b w:val="0"/>
                <w:sz w:val="15"/>
              </w:rPr>
              <w:t>0.568</w:t>
            </w:r>
          </w:p>
        </w:tc>
      </w:tr>
      <w:tr>
        <w:tc>
          <w:tcPr>
            <w:tcW w:type="dxa" w:w="1475"/>
            <w:vAlign w:val="top"/>
          </w:tcPr>
          <w:p>
            <w:pPr>
              <w:spacing w:after="0" w:line="240" w:lineRule="auto"/>
            </w:pPr>
            <w:r/>
            <w:r>
              <w:rPr>
                <w:rFonts w:ascii="Times New Roman" w:hAnsi="Times New Roman" w:eastAsia="Times New Roman"/>
                <w:b w:val="0"/>
                <w:sz w:val="15"/>
              </w:rPr>
              <w:t>0.700</w:t>
            </w:r>
          </w:p>
        </w:tc>
        <w:tc>
          <w:tcPr>
            <w:tcW w:type="dxa" w:w="1475"/>
            <w:vAlign w:val="top"/>
          </w:tcPr>
          <w:p>
            <w:pPr>
              <w:spacing w:after="0" w:line="240" w:lineRule="auto"/>
            </w:pPr>
            <w:r/>
            <w:r>
              <w:rPr>
                <w:rFonts w:ascii="Times New Roman" w:hAnsi="Times New Roman" w:eastAsia="Times New Roman"/>
                <w:b w:val="0"/>
                <w:sz w:val="15"/>
              </w:rPr>
              <w:t>0.525</w:t>
            </w:r>
          </w:p>
        </w:tc>
        <w:tc>
          <w:tcPr>
            <w:tcW w:type="dxa" w:w="1475"/>
            <w:vAlign w:val="top"/>
          </w:tcPr>
          <w:p>
            <w:pPr>
              <w:spacing w:after="0" w:line="240" w:lineRule="auto"/>
            </w:pPr>
            <w:r/>
            <w:r>
              <w:rPr>
                <w:rFonts w:ascii="Times New Roman" w:hAnsi="Times New Roman" w:eastAsia="Times New Roman"/>
                <w:b w:val="0"/>
                <w:sz w:val="15"/>
              </w:rPr>
              <w:t>0.925</w:t>
            </w:r>
          </w:p>
        </w:tc>
        <w:tc>
          <w:tcPr>
            <w:tcW w:type="dxa" w:w="1475"/>
            <w:vAlign w:val="top"/>
          </w:tcPr>
          <w:p>
            <w:pPr>
              <w:spacing w:after="0" w:line="240" w:lineRule="auto"/>
            </w:pPr>
            <w:r/>
            <w:r>
              <w:rPr>
                <w:rFonts w:ascii="Times New Roman" w:hAnsi="Times New Roman" w:eastAsia="Times New Roman"/>
                <w:b w:val="0"/>
                <w:sz w:val="15"/>
              </w:rPr>
              <w:t>0.896</w:t>
            </w:r>
          </w:p>
        </w:tc>
        <w:tc>
          <w:tcPr>
            <w:tcW w:type="dxa" w:w="1475"/>
            <w:vAlign w:val="top"/>
          </w:tcPr>
          <w:p>
            <w:pPr>
              <w:spacing w:after="0" w:line="240" w:lineRule="auto"/>
            </w:pPr>
            <w:r/>
            <w:r>
              <w:rPr>
                <w:rFonts w:ascii="Times New Roman" w:hAnsi="Times New Roman" w:eastAsia="Times New Roman"/>
                <w:b w:val="0"/>
                <w:sz w:val="15"/>
              </w:rPr>
              <w:t>0.611</w:t>
            </w:r>
          </w:p>
        </w:tc>
        <w:tc>
          <w:tcPr>
            <w:tcW w:type="dxa" w:w="1475"/>
            <w:vAlign w:val="top"/>
          </w:tcPr>
          <w:p>
            <w:pPr>
              <w:spacing w:after="0" w:line="240" w:lineRule="auto"/>
            </w:pPr>
            <w:r/>
            <w:r>
              <w:rPr>
                <w:rFonts w:ascii="Times New Roman" w:hAnsi="Times New Roman" w:eastAsia="Times New Roman"/>
                <w:b w:val="0"/>
                <w:sz w:val="15"/>
              </w:rPr>
              <w:t>0.725</w:t>
            </w:r>
          </w:p>
        </w:tc>
        <w:tc>
          <w:tcPr>
            <w:tcW w:type="dxa" w:w="1475"/>
            <w:vAlign w:val="top"/>
          </w:tcPr>
          <w:p>
            <w:pPr>
              <w:spacing w:after="0" w:line="240" w:lineRule="auto"/>
            </w:pPr>
            <w:r/>
            <w:r>
              <w:rPr>
                <w:rFonts w:ascii="Times New Roman" w:hAnsi="Times New Roman" w:eastAsia="Times New Roman"/>
                <w:b w:val="0"/>
                <w:sz w:val="15"/>
              </w:rPr>
              <w:t>0.477</w:t>
            </w:r>
          </w:p>
        </w:tc>
      </w:tr>
    </w:tbl>
    <w:p>
      <w:pPr>
        <w:spacing w:before="40" w:after="40"/>
      </w:pPr>
      <w:r>
        <w:rPr>
          <w:rFonts w:ascii="Times New Roman" w:hAnsi="Times New Roman"/>
          <w:b/>
          <w:sz w:val="20"/>
        </w:rPr>
        <w:t>Table VIII. Top Global Explanation Features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162"/>
        <w:gridCol w:w="5162"/>
      </w:tblGrid>
      <w:tr>
        <w:tc>
          <w:tcPr>
            <w:tcW w:type="dxa" w:w="5162"/>
            <w:vAlign w:val="top"/>
          </w:tcPr>
          <w:p>
            <w:pPr>
              <w:spacing w:after="0" w:line="240" w:lineRule="auto"/>
            </w:pPr>
            <w:r/>
            <w:r>
              <w:rPr>
                <w:rFonts w:ascii="Times New Roman" w:hAnsi="Times New Roman" w:eastAsia="Times New Roman"/>
                <w:b/>
                <w:sz w:val="15"/>
              </w:rPr>
              <w:t>Feature</w:t>
            </w:r>
          </w:p>
        </w:tc>
        <w:tc>
          <w:tcPr>
            <w:tcW w:type="dxa" w:w="5162"/>
            <w:vAlign w:val="top"/>
          </w:tcPr>
          <w:p>
            <w:pPr>
              <w:spacing w:after="0" w:line="240" w:lineRule="auto"/>
            </w:pPr>
            <w:r/>
            <w:r>
              <w:rPr>
                <w:rFonts w:ascii="Times New Roman" w:hAnsi="Times New Roman" w:eastAsia="Times New Roman"/>
                <w:b/>
                <w:sz w:val="15"/>
              </w:rPr>
              <w:t>Importance</w:t>
            </w:r>
          </w:p>
        </w:tc>
      </w:tr>
      <w:tr>
        <w:tc>
          <w:tcPr>
            <w:tcW w:type="dxa" w:w="5162"/>
            <w:vAlign w:val="top"/>
          </w:tcPr>
          <w:p>
            <w:pPr>
              <w:spacing w:after="0" w:line="240" w:lineRule="auto"/>
            </w:pPr>
            <w:r/>
            <w:r>
              <w:rPr>
                <w:rFonts w:ascii="Times New Roman" w:hAnsi="Times New Roman" w:eastAsia="Times New Roman"/>
                <w:b w:val="0"/>
                <w:sz w:val="15"/>
              </w:rPr>
              <w:t>cp</w:t>
            </w:r>
          </w:p>
        </w:tc>
        <w:tc>
          <w:tcPr>
            <w:tcW w:type="dxa" w:w="5162"/>
            <w:vAlign w:val="top"/>
          </w:tcPr>
          <w:p>
            <w:pPr>
              <w:spacing w:after="0" w:line="240" w:lineRule="auto"/>
            </w:pPr>
            <w:r/>
            <w:r>
              <w:rPr>
                <w:rFonts w:ascii="Times New Roman" w:hAnsi="Times New Roman" w:eastAsia="Times New Roman"/>
                <w:b w:val="0"/>
                <w:sz w:val="15"/>
              </w:rPr>
              <w:t>1.921</w:t>
            </w:r>
          </w:p>
        </w:tc>
      </w:tr>
      <w:tr>
        <w:tc>
          <w:tcPr>
            <w:tcW w:type="dxa" w:w="5162"/>
            <w:vAlign w:val="top"/>
          </w:tcPr>
          <w:p>
            <w:pPr>
              <w:spacing w:after="0" w:line="240" w:lineRule="auto"/>
            </w:pPr>
            <w:r/>
            <w:r>
              <w:rPr>
                <w:rFonts w:ascii="Times New Roman" w:hAnsi="Times New Roman" w:eastAsia="Times New Roman"/>
                <w:b w:val="0"/>
                <w:sz w:val="15"/>
              </w:rPr>
              <w:t>sex</w:t>
            </w:r>
          </w:p>
        </w:tc>
        <w:tc>
          <w:tcPr>
            <w:tcW w:type="dxa" w:w="5162"/>
            <w:vAlign w:val="top"/>
          </w:tcPr>
          <w:p>
            <w:pPr>
              <w:spacing w:after="0" w:line="240" w:lineRule="auto"/>
            </w:pPr>
            <w:r/>
            <w:r>
              <w:rPr>
                <w:rFonts w:ascii="Times New Roman" w:hAnsi="Times New Roman" w:eastAsia="Times New Roman"/>
                <w:b w:val="0"/>
                <w:sz w:val="15"/>
              </w:rPr>
              <w:t>0.934</w:t>
            </w:r>
          </w:p>
        </w:tc>
      </w:tr>
      <w:tr>
        <w:tc>
          <w:tcPr>
            <w:tcW w:type="dxa" w:w="5162"/>
            <w:vAlign w:val="top"/>
          </w:tcPr>
          <w:p>
            <w:pPr>
              <w:spacing w:after="0" w:line="240" w:lineRule="auto"/>
            </w:pPr>
            <w:r/>
            <w:r>
              <w:rPr>
                <w:rFonts w:ascii="Times New Roman" w:hAnsi="Times New Roman" w:eastAsia="Times New Roman"/>
                <w:b w:val="0"/>
                <w:sz w:val="15"/>
              </w:rPr>
              <w:t>exang</w:t>
            </w:r>
          </w:p>
        </w:tc>
        <w:tc>
          <w:tcPr>
            <w:tcW w:type="dxa" w:w="5162"/>
            <w:vAlign w:val="top"/>
          </w:tcPr>
          <w:p>
            <w:pPr>
              <w:spacing w:after="0" w:line="240" w:lineRule="auto"/>
            </w:pPr>
            <w:r/>
            <w:r>
              <w:rPr>
                <w:rFonts w:ascii="Times New Roman" w:hAnsi="Times New Roman" w:eastAsia="Times New Roman"/>
                <w:b w:val="0"/>
                <w:sz w:val="15"/>
              </w:rPr>
              <w:t>0.868</w:t>
            </w:r>
          </w:p>
        </w:tc>
      </w:tr>
      <w:tr>
        <w:tc>
          <w:tcPr>
            <w:tcW w:type="dxa" w:w="5162"/>
            <w:vAlign w:val="top"/>
          </w:tcPr>
          <w:p>
            <w:pPr>
              <w:spacing w:after="0" w:line="240" w:lineRule="auto"/>
            </w:pPr>
            <w:r/>
            <w:r>
              <w:rPr>
                <w:rFonts w:ascii="Times New Roman" w:hAnsi="Times New Roman" w:eastAsia="Times New Roman"/>
                <w:b w:val="0"/>
                <w:sz w:val="15"/>
              </w:rPr>
              <w:t>thal</w:t>
            </w:r>
          </w:p>
        </w:tc>
        <w:tc>
          <w:tcPr>
            <w:tcW w:type="dxa" w:w="5162"/>
            <w:vAlign w:val="top"/>
          </w:tcPr>
          <w:p>
            <w:pPr>
              <w:spacing w:after="0" w:line="240" w:lineRule="auto"/>
            </w:pPr>
            <w:r/>
            <w:r>
              <w:rPr>
                <w:rFonts w:ascii="Times New Roman" w:hAnsi="Times New Roman" w:eastAsia="Times New Roman"/>
                <w:b w:val="0"/>
                <w:sz w:val="15"/>
              </w:rPr>
              <w:t>0.739</w:t>
            </w:r>
          </w:p>
        </w:tc>
      </w:tr>
      <w:tr>
        <w:tc>
          <w:tcPr>
            <w:tcW w:type="dxa" w:w="5162"/>
            <w:vAlign w:val="top"/>
          </w:tcPr>
          <w:p>
            <w:pPr>
              <w:spacing w:after="0" w:line="240" w:lineRule="auto"/>
            </w:pPr>
            <w:r/>
            <w:r>
              <w:rPr>
                <w:rFonts w:ascii="Times New Roman" w:hAnsi="Times New Roman" w:eastAsia="Times New Roman"/>
                <w:b w:val="0"/>
                <w:sz w:val="15"/>
              </w:rPr>
              <w:t>slope</w:t>
            </w:r>
          </w:p>
        </w:tc>
        <w:tc>
          <w:tcPr>
            <w:tcW w:type="dxa" w:w="5162"/>
            <w:vAlign w:val="top"/>
          </w:tcPr>
          <w:p>
            <w:pPr>
              <w:spacing w:after="0" w:line="240" w:lineRule="auto"/>
            </w:pPr>
            <w:r/>
            <w:r>
              <w:rPr>
                <w:rFonts w:ascii="Times New Roman" w:hAnsi="Times New Roman" w:eastAsia="Times New Roman"/>
                <w:b w:val="0"/>
                <w:sz w:val="15"/>
              </w:rPr>
              <w:t>0.598</w:t>
            </w:r>
          </w:p>
        </w:tc>
      </w:tr>
      <w:tr>
        <w:tc>
          <w:tcPr>
            <w:tcW w:type="dxa" w:w="5162"/>
            <w:vAlign w:val="top"/>
          </w:tcPr>
          <w:p>
            <w:pPr>
              <w:spacing w:after="0" w:line="240" w:lineRule="auto"/>
            </w:pPr>
            <w:r/>
            <w:r>
              <w:rPr>
                <w:rFonts w:ascii="Times New Roman" w:hAnsi="Times New Roman" w:eastAsia="Times New Roman"/>
                <w:b w:val="0"/>
                <w:sz w:val="15"/>
              </w:rPr>
              <w:t>oldpeak</w:t>
            </w:r>
          </w:p>
        </w:tc>
        <w:tc>
          <w:tcPr>
            <w:tcW w:type="dxa" w:w="5162"/>
            <w:vAlign w:val="top"/>
          </w:tcPr>
          <w:p>
            <w:pPr>
              <w:spacing w:after="0" w:line="240" w:lineRule="auto"/>
            </w:pPr>
            <w:r/>
            <w:r>
              <w:rPr>
                <w:rFonts w:ascii="Times New Roman" w:hAnsi="Times New Roman" w:eastAsia="Times New Roman"/>
                <w:b w:val="0"/>
                <w:sz w:val="15"/>
              </w:rPr>
              <w:t>0.512</w:t>
            </w:r>
          </w:p>
        </w:tc>
      </w:tr>
      <w:tr>
        <w:tc>
          <w:tcPr>
            <w:tcW w:type="dxa" w:w="5162"/>
            <w:vAlign w:val="top"/>
          </w:tcPr>
          <w:p>
            <w:pPr>
              <w:spacing w:after="0" w:line="240" w:lineRule="auto"/>
            </w:pPr>
            <w:r/>
            <w:r>
              <w:rPr>
                <w:rFonts w:ascii="Times New Roman" w:hAnsi="Times New Roman" w:eastAsia="Times New Roman"/>
                <w:b w:val="0"/>
                <w:sz w:val="15"/>
              </w:rPr>
              <w:t>chol</w:t>
            </w:r>
          </w:p>
        </w:tc>
        <w:tc>
          <w:tcPr>
            <w:tcW w:type="dxa" w:w="5162"/>
            <w:vAlign w:val="top"/>
          </w:tcPr>
          <w:p>
            <w:pPr>
              <w:spacing w:after="0" w:line="240" w:lineRule="auto"/>
            </w:pPr>
            <w:r/>
            <w:r>
              <w:rPr>
                <w:rFonts w:ascii="Times New Roman" w:hAnsi="Times New Roman" w:eastAsia="Times New Roman"/>
                <w:b w:val="0"/>
                <w:sz w:val="15"/>
              </w:rPr>
              <w:t>0.447</w:t>
            </w:r>
          </w:p>
        </w:tc>
      </w:tr>
      <w:tr>
        <w:tc>
          <w:tcPr>
            <w:tcW w:type="dxa" w:w="5162"/>
            <w:vAlign w:val="top"/>
          </w:tcPr>
          <w:p>
            <w:pPr>
              <w:spacing w:after="0" w:line="240" w:lineRule="auto"/>
            </w:pPr>
            <w:r/>
            <w:r>
              <w:rPr>
                <w:rFonts w:ascii="Times New Roman" w:hAnsi="Times New Roman" w:eastAsia="Times New Roman"/>
                <w:b w:val="0"/>
                <w:sz w:val="15"/>
              </w:rPr>
              <w:t>fbs</w:t>
            </w:r>
          </w:p>
        </w:tc>
        <w:tc>
          <w:tcPr>
            <w:tcW w:type="dxa" w:w="5162"/>
            <w:vAlign w:val="top"/>
          </w:tcPr>
          <w:p>
            <w:pPr>
              <w:spacing w:after="0" w:line="240" w:lineRule="auto"/>
            </w:pPr>
            <w:r/>
            <w:r>
              <w:rPr>
                <w:rFonts w:ascii="Times New Roman" w:hAnsi="Times New Roman" w:eastAsia="Times New Roman"/>
                <w:b w:val="0"/>
                <w:sz w:val="15"/>
              </w:rPr>
              <w:t>0.399</w:t>
            </w:r>
          </w:p>
        </w:tc>
      </w:tr>
    </w:tbl>
    <w:p>
      <w:pPr>
        <w:spacing w:after="20"/>
        <w:jc w:val="center"/>
      </w:pPr>
      <w:r/>
      <w:r>
        <w:drawing>
          <wp:inline xmlns:a="http://schemas.openxmlformats.org/drawingml/2006/main" xmlns:pic="http://schemas.openxmlformats.org/drawingml/2006/picture">
            <wp:extent cx="2907792" cy="191552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07792" cy="1915529"/>
                    </a:xfrm>
                    <a:prstGeom prst="rect"/>
                  </pic:spPr>
                </pic:pic>
              </a:graphicData>
            </a:graphic>
          </wp:inline>
        </w:drawing>
      </w:r>
    </w:p>
    <w:p>
      <w:pPr>
        <w:spacing w:after="40"/>
        <w:jc w:val="center"/>
      </w:pPr>
      <w:r>
        <w:rPr>
          <w:rFonts w:ascii="Times New Roman" w:hAnsi="Times New Roman"/>
          <w:i/>
          <w:sz w:val="16"/>
        </w:rPr>
        <w:t>Fig. 1. Class distribution in the primary UCI-style dataset.</w:t>
      </w:r>
    </w:p>
    <w:p>
      <w:pPr>
        <w:spacing w:after="20"/>
        <w:jc w:val="center"/>
      </w:pPr>
      <w:r/>
      <w:r>
        <w:drawing>
          <wp:inline xmlns:a="http://schemas.openxmlformats.org/drawingml/2006/main" xmlns:pic="http://schemas.openxmlformats.org/drawingml/2006/picture">
            <wp:extent cx="2907792" cy="142935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907792" cy="1429358"/>
                    </a:xfrm>
                    <a:prstGeom prst="rect"/>
                  </pic:spPr>
                </pic:pic>
              </a:graphicData>
            </a:graphic>
          </wp:inline>
        </w:drawing>
      </w:r>
    </w:p>
    <w:p>
      <w:pPr>
        <w:spacing w:after="40"/>
        <w:jc w:val="center"/>
      </w:pPr>
      <w:r>
        <w:rPr>
          <w:rFonts w:ascii="Times New Roman" w:hAnsi="Times New Roman"/>
          <w:i/>
          <w:sz w:val="16"/>
        </w:rPr>
        <w:t>Fig. 2. Center distribution used for leave-one-center-out validation.</w:t>
      </w:r>
    </w:p>
    <w:p>
      <w:pPr>
        <w:spacing w:after="20"/>
        <w:jc w:val="center"/>
      </w:pPr>
      <w:r/>
      <w:r>
        <w:drawing>
          <wp:inline xmlns:a="http://schemas.openxmlformats.org/drawingml/2006/main" xmlns:pic="http://schemas.openxmlformats.org/drawingml/2006/picture">
            <wp:extent cx="2907792" cy="143333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07792" cy="1433336"/>
                    </a:xfrm>
                    <a:prstGeom prst="rect"/>
                  </pic:spPr>
                </pic:pic>
              </a:graphicData>
            </a:graphic>
          </wp:inline>
        </w:drawing>
      </w:r>
    </w:p>
    <w:p>
      <w:pPr>
        <w:spacing w:after="40"/>
        <w:jc w:val="center"/>
      </w:pPr>
      <w:r>
        <w:rPr>
          <w:rFonts w:ascii="Times New Roman" w:hAnsi="Times New Roman"/>
          <w:i/>
          <w:sz w:val="16"/>
        </w:rPr>
        <w:t>Fig. 3. Missingness pattern across primary dataset predictors.</w:t>
      </w:r>
    </w:p>
    <w:p>
      <w:pPr>
        <w:spacing w:after="20"/>
        <w:jc w:val="center"/>
      </w:pPr>
      <w:r/>
      <w:r>
        <w:drawing>
          <wp:inline xmlns:a="http://schemas.openxmlformats.org/drawingml/2006/main" xmlns:pic="http://schemas.openxmlformats.org/drawingml/2006/picture">
            <wp:extent cx="2907792" cy="153351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07792" cy="1533517"/>
                    </a:xfrm>
                    <a:prstGeom prst="rect"/>
                  </pic:spPr>
                </pic:pic>
              </a:graphicData>
            </a:graphic>
          </wp:inline>
        </w:drawing>
      </w:r>
    </w:p>
    <w:p>
      <w:pPr>
        <w:spacing w:after="40"/>
        <w:jc w:val="center"/>
      </w:pPr>
      <w:r>
        <w:rPr>
          <w:rFonts w:ascii="Times New Roman" w:hAnsi="Times New Roman"/>
          <w:i/>
          <w:sz w:val="16"/>
        </w:rPr>
        <w:t>Fig. 4. Model comparison across site-aware validation folds.</w:t>
      </w:r>
    </w:p>
    <w:p>
      <w:pPr>
        <w:spacing w:after="20"/>
        <w:jc w:val="center"/>
      </w:pPr>
      <w:r/>
      <w:r>
        <w:drawing>
          <wp:inline xmlns:a="http://schemas.openxmlformats.org/drawingml/2006/main" xmlns:pic="http://schemas.openxmlformats.org/drawingml/2006/picture">
            <wp:extent cx="2907792" cy="294393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07792" cy="2943939"/>
                    </a:xfrm>
                    <a:prstGeom prst="rect"/>
                  </pic:spPr>
                </pic:pic>
              </a:graphicData>
            </a:graphic>
          </wp:inline>
        </w:drawing>
      </w:r>
    </w:p>
    <w:p>
      <w:pPr>
        <w:spacing w:after="40"/>
        <w:jc w:val="center"/>
      </w:pPr>
      <w:r>
        <w:rPr>
          <w:rFonts w:ascii="Times New Roman" w:hAnsi="Times New Roman"/>
          <w:i/>
          <w:sz w:val="16"/>
        </w:rPr>
        <w:t>Fig. 5. ROC curves from held-out-center predictions.</w:t>
      </w:r>
    </w:p>
    <w:p>
      <w:pPr>
        <w:spacing w:after="20"/>
        <w:jc w:val="center"/>
      </w:pPr>
      <w:r/>
      <w:r>
        <w:drawing>
          <wp:inline xmlns:a="http://schemas.openxmlformats.org/drawingml/2006/main" xmlns:pic="http://schemas.openxmlformats.org/drawingml/2006/picture">
            <wp:extent cx="2907792" cy="294393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07792" cy="2943939"/>
                    </a:xfrm>
                    <a:prstGeom prst="rect"/>
                  </pic:spPr>
                </pic:pic>
              </a:graphicData>
            </a:graphic>
          </wp:inline>
        </w:drawing>
      </w:r>
    </w:p>
    <w:p>
      <w:pPr>
        <w:spacing w:after="40"/>
        <w:jc w:val="center"/>
      </w:pPr>
      <w:r>
        <w:rPr>
          <w:rFonts w:ascii="Times New Roman" w:hAnsi="Times New Roman"/>
          <w:i/>
          <w:sz w:val="16"/>
        </w:rPr>
        <w:t>Fig. 6. Precision-recall curves from held-out-center predictions.</w:t>
      </w:r>
    </w:p>
    <w:p>
      <w:pPr>
        <w:spacing w:after="20"/>
        <w:jc w:val="center"/>
      </w:pPr>
      <w:r/>
      <w:r>
        <w:drawing>
          <wp:inline xmlns:a="http://schemas.openxmlformats.org/drawingml/2006/main" xmlns:pic="http://schemas.openxmlformats.org/drawingml/2006/picture">
            <wp:extent cx="2907792" cy="240837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07792" cy="2408375"/>
                    </a:xfrm>
                    <a:prstGeom prst="rect"/>
                  </pic:spPr>
                </pic:pic>
              </a:graphicData>
            </a:graphic>
          </wp:inline>
        </w:drawing>
      </w:r>
    </w:p>
    <w:p>
      <w:pPr>
        <w:spacing w:after="40"/>
        <w:jc w:val="center"/>
      </w:pPr>
      <w:r>
        <w:rPr>
          <w:rFonts w:ascii="Times New Roman" w:hAnsi="Times New Roman"/>
          <w:i/>
          <w:sz w:val="16"/>
        </w:rPr>
        <w:t>Fig. 7. Calibration curves for compared models.</w:t>
      </w:r>
    </w:p>
    <w:p>
      <w:pPr>
        <w:spacing w:after="20"/>
        <w:jc w:val="center"/>
      </w:pPr>
      <w:r/>
      <w:r>
        <w:drawing>
          <wp:inline xmlns:a="http://schemas.openxmlformats.org/drawingml/2006/main" xmlns:pic="http://schemas.openxmlformats.org/drawingml/2006/picture">
            <wp:extent cx="2907792" cy="302182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907792" cy="3021823"/>
                    </a:xfrm>
                    <a:prstGeom prst="rect"/>
                  </pic:spPr>
                </pic:pic>
              </a:graphicData>
            </a:graphic>
          </wp:inline>
        </w:drawing>
      </w:r>
    </w:p>
    <w:p>
      <w:pPr>
        <w:spacing w:after="40"/>
        <w:jc w:val="center"/>
      </w:pPr>
      <w:r>
        <w:rPr>
          <w:rFonts w:ascii="Times New Roman" w:hAnsi="Times New Roman"/>
          <w:i/>
          <w:sz w:val="16"/>
        </w:rPr>
        <w:t>Fig. 8. Confusion matrix for the selected model at threshold 0.50.</w:t>
      </w:r>
    </w:p>
    <w:p>
      <w:pPr>
        <w:spacing w:after="20"/>
        <w:jc w:val="center"/>
      </w:pPr>
      <w:r/>
      <w:r>
        <w:drawing>
          <wp:inline xmlns:a="http://schemas.openxmlformats.org/drawingml/2006/main" xmlns:pic="http://schemas.openxmlformats.org/drawingml/2006/picture">
            <wp:extent cx="2907792" cy="191552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07792" cy="1915529"/>
                    </a:xfrm>
                    <a:prstGeom prst="rect"/>
                  </pic:spPr>
                </pic:pic>
              </a:graphicData>
            </a:graphic>
          </wp:inline>
        </w:drawing>
      </w:r>
    </w:p>
    <w:p>
      <w:pPr>
        <w:spacing w:after="40"/>
        <w:jc w:val="center"/>
      </w:pPr>
      <w:r>
        <w:rPr>
          <w:rFonts w:ascii="Times New Roman" w:hAnsi="Times New Roman"/>
          <w:i/>
          <w:sz w:val="16"/>
        </w:rPr>
        <w:t>Fig. 9. Decision-curve analysis for threshold-probability ranges.</w:t>
      </w:r>
    </w:p>
    <w:p>
      <w:pPr>
        <w:spacing w:after="20"/>
        <w:jc w:val="center"/>
      </w:pPr>
      <w:r/>
      <w:r>
        <w:drawing>
          <wp:inline xmlns:a="http://schemas.openxmlformats.org/drawingml/2006/main" xmlns:pic="http://schemas.openxmlformats.org/drawingml/2006/picture">
            <wp:extent cx="2907792" cy="206232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907792" cy="2062324"/>
                    </a:xfrm>
                    <a:prstGeom prst="rect"/>
                  </pic:spPr>
                </pic:pic>
              </a:graphicData>
            </a:graphic>
          </wp:inline>
        </w:drawing>
      </w:r>
    </w:p>
    <w:p>
      <w:pPr>
        <w:spacing w:after="40"/>
        <w:jc w:val="center"/>
      </w:pPr>
      <w:r>
        <w:rPr>
          <w:rFonts w:ascii="Times New Roman" w:hAnsi="Times New Roman"/>
          <w:i/>
          <w:sz w:val="16"/>
        </w:rPr>
        <w:t>Fig. 10. Global feature importance for the selected model.</w:t>
      </w:r>
    </w:p>
    <w:p>
      <w:pPr>
        <w:spacing w:after="20"/>
        <w:jc w:val="center"/>
      </w:pPr>
      <w:r/>
      <w:r>
        <w:drawing>
          <wp:inline xmlns:a="http://schemas.openxmlformats.org/drawingml/2006/main" xmlns:pic="http://schemas.openxmlformats.org/drawingml/2006/picture">
            <wp:extent cx="2907792" cy="232648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907792" cy="2326484"/>
                    </a:xfrm>
                    <a:prstGeom prst="rect"/>
                  </pic:spPr>
                </pic:pic>
              </a:graphicData>
            </a:graphic>
          </wp:inline>
        </w:drawing>
      </w:r>
    </w:p>
    <w:p>
      <w:pPr>
        <w:spacing w:after="40"/>
        <w:jc w:val="center"/>
      </w:pPr>
      <w:r>
        <w:rPr>
          <w:rFonts w:ascii="Times New Roman" w:hAnsi="Times New Roman"/>
          <w:i/>
          <w:sz w:val="16"/>
        </w:rPr>
        <w:t>Fig. 11. SHAP-style summary plot for explanation review.</w:t>
      </w:r>
    </w:p>
    <w:p>
      <w:pPr>
        <w:spacing w:before="80" w:after="40"/>
        <w:jc w:val="center"/>
      </w:pPr>
      <w:r>
        <w:rPr>
          <w:rFonts w:ascii="Times New Roman" w:hAnsi="Times New Roman"/>
          <w:b/>
          <w:sz w:val="20"/>
        </w:rPr>
        <w:t>VI. ABLATION STUDIES / COMPARATIVE STUDIES</w:t>
      </w:r>
    </w:p>
    <w:p>
      <w:pPr>
        <w:spacing w:after="40" w:line="240" w:lineRule="auto"/>
        <w:jc w:val="both"/>
      </w:pPr>
      <w:r>
        <w:rPr>
          <w:rFonts w:ascii="Times New Roman" w:hAnsi="Times New Roman" w:eastAsia="Times New Roman"/>
          <w:sz w:val="20"/>
        </w:rPr>
        <w:t>The main comparative study is the model-family comparison. The MLP baseline was preserved from the original notebook direction but underperformed logistic regression and tree-based models on several metrics. This supports the final decision to keep the neural network as a comparator rather than the champion.</w:t>
      </w:r>
    </w:p>
    <w:p>
      <w:pPr>
        <w:spacing w:after="40" w:line="240" w:lineRule="auto"/>
        <w:jc w:val="both"/>
      </w:pPr>
      <w:r>
        <w:rPr>
          <w:rFonts w:ascii="Times New Roman" w:hAnsi="Times New Roman" w:eastAsia="Times New Roman"/>
          <w:sz w:val="20"/>
        </w:rPr>
        <w:t>The duplicate sensitivity analysis showed why heart.csv is supplementary. The duplicate-expanded version produced slightly stronger apparent performance than the deduplicated version. Because duplicate rows can make evaluation easier and less realistic, the deduplicated result is the only defensible supplementary benchmark.</w:t>
      </w:r>
    </w:p>
    <w:p>
      <w:pPr>
        <w:spacing w:after="40" w:line="240" w:lineRule="auto"/>
        <w:jc w:val="both"/>
      </w:pPr>
      <w:r>
        <w:rPr>
          <w:rFonts w:ascii="Times New Roman" w:hAnsi="Times New Roman" w:eastAsia="Times New Roman"/>
          <w:sz w:val="20"/>
        </w:rPr>
        <w:t>The threshold analysis showed a clear sensitivity-specificity trade-off. A lower threshold is more sensitive and may be useful for screening-oriented analysis, whereas a higher threshold is more specific and reduces false positives. Since the project is not clinically deployed, no single operating threshold is recommended as medically optimal.</w:t>
      </w:r>
    </w:p>
    <w:p>
      <w:pPr>
        <w:spacing w:after="40" w:line="240" w:lineRule="auto"/>
        <w:jc w:val="both"/>
      </w:pPr>
      <w:r>
        <w:rPr>
          <w:rFonts w:ascii="Times New Roman" w:hAnsi="Times New Roman" w:eastAsia="Times New Roman"/>
          <w:sz w:val="20"/>
        </w:rPr>
        <w:t>The center sensitivity analysis is the most important ablation for scientific honesty. Holding out Switzerland and VA Long Beach produced weaker performance than holding out Cleveland and Hungary. This indicates distribution shift between centers and justifies the report limitation that prospective validation would be required before any clinical use.</w:t>
      </w:r>
    </w:p>
    <w:p>
      <w:pPr>
        <w:spacing w:before="40" w:after="40"/>
      </w:pPr>
      <w:r>
        <w:rPr>
          <w:rFonts w:ascii="Times New Roman" w:hAnsi="Times New Roman"/>
          <w:b/>
          <w:sz w:val="20"/>
        </w:rPr>
        <w:t>Table IX. Duplicate Sensitivity on Supplementary heart.csv</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721"/>
        <w:gridCol w:w="1721"/>
        <w:gridCol w:w="1721"/>
        <w:gridCol w:w="1721"/>
        <w:gridCol w:w="1721"/>
        <w:gridCol w:w="1721"/>
      </w:tblGrid>
      <w:tr>
        <w:tc>
          <w:tcPr>
            <w:tcW w:type="dxa" w:w="1721"/>
            <w:vAlign w:val="top"/>
          </w:tcPr>
          <w:p>
            <w:pPr>
              <w:spacing w:after="0" w:line="240" w:lineRule="auto"/>
            </w:pPr>
            <w:r/>
            <w:r>
              <w:rPr>
                <w:rFonts w:ascii="Times New Roman" w:hAnsi="Times New Roman" w:eastAsia="Times New Roman"/>
                <w:b/>
                <w:sz w:val="15"/>
              </w:rPr>
              <w:t>Dataset Version</w:t>
            </w:r>
          </w:p>
        </w:tc>
        <w:tc>
          <w:tcPr>
            <w:tcW w:type="dxa" w:w="1721"/>
            <w:vAlign w:val="top"/>
          </w:tcPr>
          <w:p>
            <w:pPr>
              <w:spacing w:after="0" w:line="240" w:lineRule="auto"/>
            </w:pPr>
            <w:r/>
            <w:r>
              <w:rPr>
                <w:rFonts w:ascii="Times New Roman" w:hAnsi="Times New Roman" w:eastAsia="Times New Roman"/>
                <w:b/>
                <w:sz w:val="15"/>
              </w:rPr>
              <w:t>AUROC</w:t>
            </w:r>
          </w:p>
        </w:tc>
        <w:tc>
          <w:tcPr>
            <w:tcW w:type="dxa" w:w="1721"/>
            <w:vAlign w:val="top"/>
          </w:tcPr>
          <w:p>
            <w:pPr>
              <w:spacing w:after="0" w:line="240" w:lineRule="auto"/>
            </w:pPr>
            <w:r/>
            <w:r>
              <w:rPr>
                <w:rFonts w:ascii="Times New Roman" w:hAnsi="Times New Roman" w:eastAsia="Times New Roman"/>
                <w:b/>
                <w:sz w:val="15"/>
              </w:rPr>
              <w:t>AUPRC</w:t>
            </w:r>
          </w:p>
        </w:tc>
        <w:tc>
          <w:tcPr>
            <w:tcW w:type="dxa" w:w="1721"/>
            <w:vAlign w:val="top"/>
          </w:tcPr>
          <w:p>
            <w:pPr>
              <w:spacing w:after="0" w:line="240" w:lineRule="auto"/>
            </w:pPr>
            <w:r/>
            <w:r>
              <w:rPr>
                <w:rFonts w:ascii="Times New Roman" w:hAnsi="Times New Roman" w:eastAsia="Times New Roman"/>
                <w:b/>
                <w:sz w:val="15"/>
              </w:rPr>
              <w:t>Bal. Acc.</w:t>
            </w:r>
          </w:p>
        </w:tc>
        <w:tc>
          <w:tcPr>
            <w:tcW w:type="dxa" w:w="1721"/>
            <w:vAlign w:val="top"/>
          </w:tcPr>
          <w:p>
            <w:pPr>
              <w:spacing w:after="0" w:line="240" w:lineRule="auto"/>
            </w:pPr>
            <w:r/>
            <w:r>
              <w:rPr>
                <w:rFonts w:ascii="Times New Roman" w:hAnsi="Times New Roman" w:eastAsia="Times New Roman"/>
                <w:b/>
                <w:sz w:val="15"/>
              </w:rPr>
              <w:t>Brier</w:t>
            </w:r>
          </w:p>
        </w:tc>
        <w:tc>
          <w:tcPr>
            <w:tcW w:type="dxa" w:w="1721"/>
            <w:vAlign w:val="top"/>
          </w:tcPr>
          <w:p>
            <w:pPr>
              <w:spacing w:after="0" w:line="240" w:lineRule="auto"/>
            </w:pPr>
            <w:r/>
            <w:r>
              <w:rPr>
                <w:rFonts w:ascii="Times New Roman" w:hAnsi="Times New Roman" w:eastAsia="Times New Roman"/>
                <w:b/>
                <w:sz w:val="15"/>
              </w:rPr>
              <w:t>MCC</w:t>
            </w:r>
          </w:p>
        </w:tc>
      </w:tr>
      <w:tr>
        <w:tc>
          <w:tcPr>
            <w:tcW w:type="dxa" w:w="1721"/>
            <w:vAlign w:val="top"/>
          </w:tcPr>
          <w:p>
            <w:pPr>
              <w:spacing w:after="0" w:line="240" w:lineRule="auto"/>
            </w:pPr>
            <w:r/>
            <w:r>
              <w:rPr>
                <w:rFonts w:ascii="Times New Roman" w:hAnsi="Times New Roman" w:eastAsia="Times New Roman"/>
                <w:b w:val="0"/>
                <w:sz w:val="15"/>
              </w:rPr>
              <w:t>Deduplicated heart.csv</w:t>
            </w:r>
          </w:p>
        </w:tc>
        <w:tc>
          <w:tcPr>
            <w:tcW w:type="dxa" w:w="1721"/>
            <w:vAlign w:val="top"/>
          </w:tcPr>
          <w:p>
            <w:pPr>
              <w:spacing w:after="0" w:line="240" w:lineRule="auto"/>
            </w:pPr>
            <w:r/>
            <w:r>
              <w:rPr>
                <w:rFonts w:ascii="Times New Roman" w:hAnsi="Times New Roman" w:eastAsia="Times New Roman"/>
                <w:b w:val="0"/>
                <w:sz w:val="15"/>
              </w:rPr>
              <w:t>0.909</w:t>
            </w:r>
          </w:p>
        </w:tc>
        <w:tc>
          <w:tcPr>
            <w:tcW w:type="dxa" w:w="1721"/>
            <w:vAlign w:val="top"/>
          </w:tcPr>
          <w:p>
            <w:pPr>
              <w:spacing w:after="0" w:line="240" w:lineRule="auto"/>
            </w:pPr>
            <w:r/>
            <w:r>
              <w:rPr>
                <w:rFonts w:ascii="Times New Roman" w:hAnsi="Times New Roman" w:eastAsia="Times New Roman"/>
                <w:b w:val="0"/>
                <w:sz w:val="15"/>
              </w:rPr>
              <w:t>0.917</w:t>
            </w:r>
          </w:p>
        </w:tc>
        <w:tc>
          <w:tcPr>
            <w:tcW w:type="dxa" w:w="1721"/>
            <w:vAlign w:val="top"/>
          </w:tcPr>
          <w:p>
            <w:pPr>
              <w:spacing w:after="0" w:line="240" w:lineRule="auto"/>
            </w:pPr>
            <w:r/>
            <w:r>
              <w:rPr>
                <w:rFonts w:ascii="Times New Roman" w:hAnsi="Times New Roman" w:eastAsia="Times New Roman"/>
                <w:b w:val="0"/>
                <w:sz w:val="15"/>
              </w:rPr>
              <w:t>0.832</w:t>
            </w:r>
          </w:p>
        </w:tc>
        <w:tc>
          <w:tcPr>
            <w:tcW w:type="dxa" w:w="1721"/>
            <w:vAlign w:val="top"/>
          </w:tcPr>
          <w:p>
            <w:pPr>
              <w:spacing w:after="0" w:line="240" w:lineRule="auto"/>
            </w:pPr>
            <w:r/>
            <w:r>
              <w:rPr>
                <w:rFonts w:ascii="Times New Roman" w:hAnsi="Times New Roman" w:eastAsia="Times New Roman"/>
                <w:b w:val="0"/>
                <w:sz w:val="15"/>
              </w:rPr>
              <w:t>0.125</w:t>
            </w:r>
          </w:p>
        </w:tc>
        <w:tc>
          <w:tcPr>
            <w:tcW w:type="dxa" w:w="1721"/>
            <w:vAlign w:val="top"/>
          </w:tcPr>
          <w:p>
            <w:pPr>
              <w:spacing w:after="0" w:line="240" w:lineRule="auto"/>
            </w:pPr>
            <w:r/>
            <w:r>
              <w:rPr>
                <w:rFonts w:ascii="Times New Roman" w:hAnsi="Times New Roman" w:eastAsia="Times New Roman"/>
                <w:b w:val="0"/>
                <w:sz w:val="15"/>
              </w:rPr>
              <w:t>0.677</w:t>
            </w:r>
          </w:p>
        </w:tc>
      </w:tr>
      <w:tr>
        <w:tc>
          <w:tcPr>
            <w:tcW w:type="dxa" w:w="1721"/>
            <w:vAlign w:val="top"/>
          </w:tcPr>
          <w:p>
            <w:pPr>
              <w:spacing w:after="0" w:line="240" w:lineRule="auto"/>
            </w:pPr>
            <w:r/>
            <w:r>
              <w:rPr>
                <w:rFonts w:ascii="Times New Roman" w:hAnsi="Times New Roman" w:eastAsia="Times New Roman"/>
                <w:b w:val="0"/>
                <w:sz w:val="15"/>
              </w:rPr>
              <w:t>Duplicate-expanded heart.csv</w:t>
            </w:r>
          </w:p>
        </w:tc>
        <w:tc>
          <w:tcPr>
            <w:tcW w:type="dxa" w:w="1721"/>
            <w:vAlign w:val="top"/>
          </w:tcPr>
          <w:p>
            <w:pPr>
              <w:spacing w:after="0" w:line="240" w:lineRule="auto"/>
            </w:pPr>
            <w:r/>
            <w:r>
              <w:rPr>
                <w:rFonts w:ascii="Times New Roman" w:hAnsi="Times New Roman" w:eastAsia="Times New Roman"/>
                <w:b w:val="0"/>
                <w:sz w:val="15"/>
              </w:rPr>
              <w:t>0.924</w:t>
            </w:r>
          </w:p>
        </w:tc>
        <w:tc>
          <w:tcPr>
            <w:tcW w:type="dxa" w:w="1721"/>
            <w:vAlign w:val="top"/>
          </w:tcPr>
          <w:p>
            <w:pPr>
              <w:spacing w:after="0" w:line="240" w:lineRule="auto"/>
            </w:pPr>
            <w:r/>
            <w:r>
              <w:rPr>
                <w:rFonts w:ascii="Times New Roman" w:hAnsi="Times New Roman" w:eastAsia="Times New Roman"/>
                <w:b w:val="0"/>
                <w:sz w:val="15"/>
              </w:rPr>
              <w:t>0.926</w:t>
            </w:r>
          </w:p>
        </w:tc>
        <w:tc>
          <w:tcPr>
            <w:tcW w:type="dxa" w:w="1721"/>
            <w:vAlign w:val="top"/>
          </w:tcPr>
          <w:p>
            <w:pPr>
              <w:spacing w:after="0" w:line="240" w:lineRule="auto"/>
            </w:pPr>
            <w:r/>
            <w:r>
              <w:rPr>
                <w:rFonts w:ascii="Times New Roman" w:hAnsi="Times New Roman" w:eastAsia="Times New Roman"/>
                <w:b w:val="0"/>
                <w:sz w:val="15"/>
              </w:rPr>
              <w:t>0.855</w:t>
            </w:r>
          </w:p>
        </w:tc>
        <w:tc>
          <w:tcPr>
            <w:tcW w:type="dxa" w:w="1721"/>
            <w:vAlign w:val="top"/>
          </w:tcPr>
          <w:p>
            <w:pPr>
              <w:spacing w:after="0" w:line="240" w:lineRule="auto"/>
            </w:pPr>
            <w:r/>
            <w:r>
              <w:rPr>
                <w:rFonts w:ascii="Times New Roman" w:hAnsi="Times New Roman" w:eastAsia="Times New Roman"/>
                <w:b w:val="0"/>
                <w:sz w:val="15"/>
              </w:rPr>
              <w:t>0.110</w:t>
            </w:r>
          </w:p>
        </w:tc>
        <w:tc>
          <w:tcPr>
            <w:tcW w:type="dxa" w:w="1721"/>
            <w:vAlign w:val="top"/>
          </w:tcPr>
          <w:p>
            <w:pPr>
              <w:spacing w:after="0" w:line="240" w:lineRule="auto"/>
            </w:pPr>
            <w:r/>
            <w:r>
              <w:rPr>
                <w:rFonts w:ascii="Times New Roman" w:hAnsi="Times New Roman" w:eastAsia="Times New Roman"/>
                <w:b w:val="0"/>
                <w:sz w:val="15"/>
              </w:rPr>
              <w:t>0.715</w:t>
            </w:r>
          </w:p>
        </w:tc>
      </w:tr>
    </w:tbl>
    <w:p>
      <w:pPr>
        <w:spacing w:before="80" w:after="40"/>
        <w:jc w:val="center"/>
      </w:pPr>
      <w:r>
        <w:rPr>
          <w:rFonts w:ascii="Times New Roman" w:hAnsi="Times New Roman"/>
          <w:b/>
          <w:sz w:val="20"/>
        </w:rPr>
        <w:t>VII. CONCLUSION AND FUTURE WORK</w:t>
      </w:r>
    </w:p>
    <w:p>
      <w:pPr>
        <w:spacing w:after="40" w:line="240" w:lineRule="auto"/>
        <w:jc w:val="both"/>
      </w:pPr>
      <w:r>
        <w:rPr>
          <w:rFonts w:ascii="Times New Roman" w:hAnsi="Times New Roman" w:eastAsia="Times New Roman"/>
          <w:sz w:val="20"/>
        </w:rPr>
        <w:t>This project satisfies the ML Lab objective by building a complete early CVD prediction workflow from clinical tabular data while correcting the weaknesses of the initial notebook-only approach. The final system contains a reproducible notebook, modular Python code, leakage-safe training and evaluation, generated figures and tables, a FastAPI localhost application, tests, and an IEEE-style report.</w:t>
      </w:r>
    </w:p>
    <w:p>
      <w:pPr>
        <w:spacing w:after="40" w:line="240" w:lineRule="auto"/>
        <w:jc w:val="both"/>
      </w:pPr>
      <w:r>
        <w:rPr>
          <w:rFonts w:ascii="Times New Roman" w:hAnsi="Times New Roman" w:eastAsia="Times New Roman"/>
          <w:sz w:val="20"/>
        </w:rPr>
        <w:t>The selected model is penalized logistic regression because it is competitive, calibrated more favorably than the alternatives, stable enough across the available centers, and easier to explain. Future work should evaluate the model on newer prospective cohorts, add stronger clinical baselines, improve calibration by site, examine fairness across patient subgroups, and validate the user interface with clinical stakeholders. Until then, the project should be described as a reproducible educational benchmark and research prototype, not as a clinical diagnostic system.</w:t>
      </w:r>
    </w:p>
    <w:p>
      <w:pPr>
        <w:spacing w:before="80" w:after="40"/>
        <w:jc w:val="center"/>
      </w:pPr>
      <w:r>
        <w:rPr>
          <w:rFonts w:ascii="Times New Roman" w:hAnsi="Times New Roman"/>
          <w:b/>
          <w:sz w:val="20"/>
        </w:rPr>
        <w:t>REFERENCES</w:t>
      </w:r>
    </w:p>
    <w:p>
      <w:pPr>
        <w:spacing w:after="20" w:line="240" w:lineRule="auto"/>
      </w:pPr>
      <w:r>
        <w:rPr>
          <w:rFonts w:ascii="Times New Roman" w:hAnsi="Times New Roman" w:eastAsia="Times New Roman"/>
          <w:sz w:val="20"/>
        </w:rPr>
        <w:t>[1] T. Liu, A. J. Krentz, L. Lu, and V. Curcin, "Machine learning based prediction models for cardiovascular disease risk using electronic health records data: systematic review and meta-analysis," European Heart Journal - Digital Health, vol. 6, no. 1, pp. 7-22, 2025.</w:t>
      </w:r>
    </w:p>
    <w:p>
      <w:pPr>
        <w:spacing w:after="20" w:line="240" w:lineRule="auto"/>
      </w:pPr>
      <w:r>
        <w:rPr>
          <w:rFonts w:ascii="Times New Roman" w:hAnsi="Times New Roman" w:eastAsia="Times New Roman"/>
          <w:sz w:val="20"/>
        </w:rPr>
        <w:t>[2] C. Krittanawong et al., "Machine learning prediction in cardiovascular diseases: a meta-analysis," Scientific Reports, vol. 10, Art. no. 16057, 2020.</w:t>
      </w:r>
    </w:p>
    <w:p>
      <w:pPr>
        <w:spacing w:after="20" w:line="240" w:lineRule="auto"/>
      </w:pPr>
      <w:r>
        <w:rPr>
          <w:rFonts w:ascii="Times New Roman" w:hAnsi="Times New Roman" w:eastAsia="Times New Roman"/>
          <w:sz w:val="20"/>
        </w:rPr>
        <w:t>[3] Y. Cai et al., "Artificial intelligence in the risk prediction models of cardiovascular disease and development of an independent validation screening tool: a systematic review," BMC Medicine, vol. 22, Art. no. 56, 2024.</w:t>
      </w:r>
    </w:p>
    <w:p>
      <w:pPr>
        <w:spacing w:after="20" w:line="240" w:lineRule="auto"/>
      </w:pPr>
      <w:r>
        <w:rPr>
          <w:rFonts w:ascii="Times New Roman" w:hAnsi="Times New Roman" w:eastAsia="Times New Roman"/>
          <w:sz w:val="20"/>
        </w:rPr>
        <w:t>[4] J. Azmi, M. Arif, M. T. Nafis, M. A. Alam, S. Tanweer, and G. Wang, "A systematic review on machine learning approaches for cardiovascular disease prediction using medical big data," Medical Engineering &amp; Physics, vol. 103, Art. no. 103825, 2022.</w:t>
      </w:r>
    </w:p>
    <w:p>
      <w:pPr>
        <w:spacing w:after="20" w:line="240" w:lineRule="auto"/>
      </w:pPr>
      <w:r>
        <w:rPr>
          <w:rFonts w:ascii="Times New Roman" w:hAnsi="Times New Roman" w:eastAsia="Times New Roman"/>
          <w:sz w:val="20"/>
        </w:rPr>
        <w:t>[5] A. B. Teshale et al., "A systematic review of artificial intelligence models for time-to-event outcome applied in cardiovascular disease risk prediction," Journal of Medical Systems, 2024.</w:t>
      </w:r>
    </w:p>
    <w:p>
      <w:pPr>
        <w:spacing w:after="20" w:line="240" w:lineRule="auto"/>
      </w:pPr>
      <w:r>
        <w:rPr>
          <w:rFonts w:ascii="Times New Roman" w:hAnsi="Times New Roman" w:eastAsia="Times New Roman"/>
          <w:sz w:val="20"/>
        </w:rPr>
        <w:t>[6] H. F. El-Sofany, B. Bouallegue, and Y. M. A. El-Latif, "A proposed technique for predicting heart disease using machine learning algorithms and an explainable AI method," Scientific Reports, 2024.</w:t>
      </w:r>
    </w:p>
    <w:p>
      <w:pPr>
        <w:spacing w:after="20" w:line="240" w:lineRule="auto"/>
      </w:pPr>
      <w:r>
        <w:rPr>
          <w:rFonts w:ascii="Times New Roman" w:hAnsi="Times New Roman" w:eastAsia="Times New Roman"/>
          <w:sz w:val="20"/>
        </w:rPr>
        <w:t>[7] E. Dritsas and M. Trigka, "Efficient data-driven machine learning models for cardiovascular diseases risk prediction," Sensors, vol. 23, no. 3, Art. no. 1161, 2023.</w:t>
      </w:r>
    </w:p>
    <w:p>
      <w:pPr>
        <w:spacing w:after="20" w:line="240" w:lineRule="auto"/>
      </w:pPr>
      <w:r>
        <w:rPr>
          <w:rFonts w:ascii="Times New Roman" w:hAnsi="Times New Roman" w:eastAsia="Times New Roman"/>
          <w:sz w:val="20"/>
        </w:rPr>
        <w:t>[8] P. Shah, M. Shukla, N. H. Dholakia, and H. Gupta, "Predicting cardiovascular risk with hybrid ensemble learning and explainable AI," Scientific Reports, 2025.</w:t>
      </w:r>
    </w:p>
    <w:p>
      <w:pPr>
        <w:spacing w:after="20" w:line="240" w:lineRule="auto"/>
      </w:pPr>
      <w:r>
        <w:rPr>
          <w:rFonts w:ascii="Times New Roman" w:hAnsi="Times New Roman" w:eastAsia="Times New Roman"/>
          <w:sz w:val="20"/>
        </w:rPr>
        <w:t>[9] S. M. Ganie, P. K. D. Pramanik, and Z. Zhao, "Ensemble learning with explainable AI for improved heart disease prediction based on multiple datasets," Scientific Reports, 2025.</w:t>
      </w:r>
    </w:p>
    <w:p>
      <w:pPr>
        <w:spacing w:after="20" w:line="240" w:lineRule="auto"/>
      </w:pPr>
      <w:r>
        <w:rPr>
          <w:rFonts w:ascii="Times New Roman" w:hAnsi="Times New Roman" w:eastAsia="Times New Roman"/>
          <w:sz w:val="20"/>
        </w:rPr>
        <w:t>[10] M. S. I. Sumon et al., "CardioTabNet: a novel hybrid transformer model for heart disease prediction using tabular medical data," Health Information Science and Systems, 2025.</w:t>
      </w:r>
    </w:p>
    <w:p>
      <w:pPr>
        <w:spacing w:after="20" w:line="240" w:lineRule="auto"/>
      </w:pPr>
      <w:r>
        <w:rPr>
          <w:rFonts w:ascii="Times New Roman" w:hAnsi="Times New Roman" w:eastAsia="Times New Roman"/>
          <w:sz w:val="20"/>
        </w:rPr>
        <w:t>[11] G. S. Collins et al., "TRIPOD+AI statement: updated guidance for reporting clinical prediction models that use regression or machine learning methods," BMJ, vol. 385, e078378, 2024.</w:t>
      </w:r>
    </w:p>
    <w:p>
      <w:pPr>
        <w:spacing w:after="20" w:line="240" w:lineRule="auto"/>
      </w:pPr>
      <w:r>
        <w:rPr>
          <w:rFonts w:ascii="Times New Roman" w:hAnsi="Times New Roman" w:eastAsia="Times New Roman"/>
          <w:sz w:val="20"/>
        </w:rPr>
        <w:t>[12] K. G. M. Moons et al., "PROBAST+AI: an updated quality, risk of bias, and applicability assessment tool for prediction models using regression or artificial intelligence methods," BMJ, vol. 388, e082505, 2025.</w:t>
      </w:r>
    </w:p>
    <w:p>
      <w:pPr>
        <w:spacing w:after="20" w:line="240" w:lineRule="auto"/>
      </w:pPr>
      <w:r>
        <w:rPr>
          <w:rFonts w:ascii="Times New Roman" w:hAnsi="Times New Roman" w:eastAsia="Times New Roman"/>
          <w:sz w:val="20"/>
        </w:rPr>
        <w:t>[13] S. M. Lundberg and S.-I. Lee, "A unified approach to interpreting model predictions," in Advances in Neural Information Processing Systems, 2017.</w:t>
      </w:r>
    </w:p>
    <w:p>
      <w:pPr>
        <w:spacing w:after="20" w:line="240" w:lineRule="auto"/>
      </w:pPr>
      <w:r>
        <w:rPr>
          <w:rFonts w:ascii="Times New Roman" w:hAnsi="Times New Roman" w:eastAsia="Times New Roman"/>
          <w:sz w:val="20"/>
        </w:rPr>
        <w:t>[14] A. Janosi, W. Steinbrunn, M. Pfisterer, and R. Detrano, "Heart Disease," UCI Machine Learning Repository, 1989, doi: 10.24432/C52P4X.</w:t>
      </w:r>
    </w:p>
    <w:p>
      <w:pPr>
        <w:spacing w:after="20" w:line="240" w:lineRule="auto"/>
      </w:pPr>
      <w:r>
        <w:rPr>
          <w:rFonts w:ascii="Times New Roman" w:hAnsi="Times New Roman" w:eastAsia="Times New Roman"/>
          <w:sz w:val="20"/>
        </w:rPr>
        <w:t>[15] F. Pedregosa et al., "Scikit-learn: Machine learning in Python," Journal of Machine Learning Research, vol. 12, pp. 2825-2830, 2011.</w:t>
      </w:r>
    </w:p>
    <w:sectPr w:rsidR="00FC693F" w:rsidRPr="0006063C" w:rsidSect="00034616">
      <w:type w:val="continuous"/>
      <w:pgSz w:w="11909" w:h="16834"/>
      <w:pgMar w:top="1008" w:right="1008" w:bottom="1008" w:left="1008" w:header="720" w:footer="720" w:gutter="0"/>
      <w:cols w:space="2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