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66666"/>
          <w:sz w:val="20"/>
          <w:szCs w:val="20"/>
        </w:rPr>
        <w:t xml:space="preserve">AI DEV FEST 2026 · AI Hackathon · DIU CPC × upay</w:t>
      </w:r>
    </w:p>
    <w:p>
      <w:pPr>
        <w:pStyle w:val="Title"/>
      </w:pPr>
      <w:r>
        <w:t xml:space="preserve">RemitWise</w:t>
      </w:r>
    </w:p>
    <w:p>
      <w:pPr>
        <w:pBdr>
          <w:bottom w:val="single" w:color="0E6E9C" w:sz="8" w:space="6"/>
        </w:pBdr>
        <w:spacing w:after="240"/>
      </w:pPr>
      <w:r>
        <w:rPr>
          <w:i/>
          <w:iCs/>
          <w:color w:val="444444"/>
          <w:sz w:val="24"/>
          <w:szCs w:val="24"/>
        </w:rPr>
        <w:t xml:space="preserve">AI planner for families living on remittance income · Track 03: Customer Innovation &amp; Financial Independence (with a Track 07 angle)</w:t>
      </w:r>
    </w:p>
    <w:p>
      <w:pPr>
        <w:spacing w:after="120" w:line="300"/>
      </w:pPr>
      <w:r>
        <w:t xml:space="preserve">This project targets a very large, very real group of wallet users that most hackathon teams overlook: families who depend on money sent home by relatives working abroad.</w:t>
      </w:r>
    </w:p>
    <w:p>
      <w:pPr>
        <w:pStyle w:val="Heading1"/>
      </w:pPr>
      <w:r>
        <w:t xml:space="preserve">The existing problem</w:t>
      </w:r>
    </w:p>
    <w:p>
      <w:pPr>
        <w:spacing w:after="120" w:line="300"/>
      </w:pPr>
      <w:r>
        <w:t xml:space="preserve">Millions of Bangladeshi households rely on remittance from family members working abroad. That income arrives irregularly, in varying amounts, and is often cashed out completely as soon as it lands. Families struggle to plan, run short before the next transfer, and rarely build savings or emergency funds, even when the total income is substantial. The worker abroad usually has no clear picture of how money is being managed or whether shared family goals (a house, school fees, a business) are on track.</w:t>
      </w:r>
    </w:p>
    <w:p>
      <w:pPr>
        <w:pStyle w:val="Heading1"/>
      </w:pPr>
      <w:r>
        <w:t xml:space="preserve">What you build</w:t>
      </w:r>
    </w:p>
    <w:p>
      <w:pPr>
        <w:pStyle w:val="ListParagraph"/>
        <w:numPr>
          <w:ilvl w:val="0"/>
          <w:numId w:val="2"/>
        </w:numPr>
        <w:spacing w:after="100" w:line="300"/>
      </w:pPr>
      <w:r>
        <w:rPr>
          <w:b/>
          <w:bCs/>
        </w:rPr>
        <w:t xml:space="preserve">Synthetic remittance household data: </w:t>
      </w:r>
      <w:r>
        <w:t xml:space="preserve">simulated families with irregular remittance inflows (varying timing and amount), local income, recurring expenses, and planted patterns such as festival spikes, a delayed transfer, or a large one-off expense.</w:t>
      </w:r>
    </w:p>
    <w:p>
      <w:pPr>
        <w:pStyle w:val="ListParagraph"/>
        <w:numPr>
          <w:ilvl w:val="0"/>
          <w:numId w:val="2"/>
        </w:numPr>
        <w:spacing w:after="100" w:line="300"/>
      </w:pPr>
      <w:r>
        <w:rPr>
          <w:b/>
          <w:bCs/>
        </w:rPr>
        <w:t xml:space="preserve">Inflow forecasting: </w:t>
      </w:r>
      <w:r>
        <w:t xml:space="preserve">a time-series model predicts when the next remittance is likely to arrive and roughly how much, with an uncertainty range rather than a single number.</w:t>
      </w:r>
    </w:p>
    <w:p>
      <w:pPr>
        <w:pStyle w:val="ListParagraph"/>
        <w:numPr>
          <w:ilvl w:val="0"/>
          <w:numId w:val="2"/>
        </w:numPr>
        <w:spacing w:after="100" w:line="300"/>
      </w:pPr>
      <w:r>
        <w:rPr>
          <w:b/>
          <w:bCs/>
        </w:rPr>
        <w:t xml:space="preserve">Smart budget allocator: </w:t>
      </w:r>
      <w:r>
        <w:t xml:space="preserve">when a remittance arrives, the system recommends splitting it into needs, savings, and goals, based on the forecast gap until the next transfer, so the family doesn't run short.</w:t>
      </w:r>
    </w:p>
    <w:p>
      <w:pPr>
        <w:pStyle w:val="ListParagraph"/>
        <w:numPr>
          <w:ilvl w:val="0"/>
          <w:numId w:val="2"/>
        </w:numPr>
        <w:spacing w:after="100" w:line="300"/>
      </w:pPr>
      <w:r>
        <w:rPr>
          <w:b/>
          <w:bCs/>
        </w:rPr>
        <w:t xml:space="preserve">Shortfall early warning: </w:t>
      </w:r>
      <w:r>
        <w:t xml:space="preserve">flags when spending is on track to exhaust the money before the next expected transfer, with explanations of what is driving it.</w:t>
      </w:r>
    </w:p>
    <w:p>
      <w:pPr>
        <w:pStyle w:val="ListParagraph"/>
        <w:numPr>
          <w:ilvl w:val="0"/>
          <w:numId w:val="2"/>
        </w:numPr>
        <w:spacing w:after="100" w:line="300"/>
      </w:pPr>
      <w:r>
        <w:rPr>
          <w:b/>
          <w:bCs/>
        </w:rPr>
        <w:t xml:space="preserve">Shared family goals: </w:t>
      </w:r>
      <w:r>
        <w:t xml:space="preserve">with consent from both sides, the sender abroad and the family at home can see progress toward shared goals, without exposing every individual transaction.</w:t>
      </w:r>
    </w:p>
    <w:p>
      <w:pPr>
        <w:pStyle w:val="ListParagraph"/>
        <w:numPr>
          <w:ilvl w:val="0"/>
          <w:numId w:val="2"/>
        </w:numPr>
        <w:spacing w:after="100" w:line="300"/>
      </w:pPr>
      <w:r>
        <w:rPr>
          <w:b/>
          <w:bCs/>
        </w:rPr>
        <w:t xml:space="preserve">Plain-language summaries: </w:t>
      </w:r>
      <w:r>
        <w:t xml:space="preserve">an LLM explains the plan and progress in simple terms, grounded only in computed numbers. All arithmetic stays in code.</w:t>
      </w:r>
    </w:p>
    <w:p>
      <w:pPr>
        <w:pStyle w:val="Heading1"/>
      </w:pPr>
      <w:r>
        <w:t xml:space="preserve">Why it can win</w:t>
      </w:r>
    </w:p>
    <w:p>
      <w:pPr>
        <w:pStyle w:val="ListParagraph"/>
        <w:numPr>
          <w:ilvl w:val="0"/>
          <w:numId w:val="3"/>
        </w:numPr>
        <w:spacing w:after="80" w:line="300"/>
      </w:pPr>
      <w:r>
        <w:rPr>
          <w:b/>
          <w:bCs/>
        </w:rPr>
        <w:t xml:space="preserve">Relevance (20%): </w:t>
      </w:r>
      <w:r>
        <w:t xml:space="preserve">remittance is central to the Bangladeshi economy and to how many families use mobile wallets, and it fits the guideline's financial independence goals directly.</w:t>
      </w:r>
    </w:p>
    <w:p>
      <w:pPr>
        <w:pStyle w:val="ListParagraph"/>
        <w:numPr>
          <w:ilvl w:val="0"/>
          <w:numId w:val="3"/>
        </w:numPr>
        <w:spacing w:after="80" w:line="300"/>
      </w:pPr>
      <w:r>
        <w:rPr>
          <w:b/>
          <w:bCs/>
        </w:rPr>
        <w:t xml:space="preserve">AI depth (20%): </w:t>
      </w:r>
      <w:r>
        <w:t xml:space="preserve">irregular-income forecasting with uncertainty, optimization of allocation, and anomaly warnings are genuinely non-trivial.</w:t>
      </w:r>
    </w:p>
    <w:p>
      <w:pPr>
        <w:pStyle w:val="ListParagraph"/>
        <w:numPr>
          <w:ilvl w:val="0"/>
          <w:numId w:val="3"/>
        </w:numPr>
        <w:spacing w:after="80" w:line="300"/>
      </w:pPr>
      <w:r>
        <w:rPr>
          <w:b/>
          <w:bCs/>
        </w:rPr>
        <w:t xml:space="preserve">Impact (20%): </w:t>
      </w:r>
      <w:r>
        <w:t xml:space="preserve">measurable for families (fewer shortfalls, more savings) and for upay (money stays in the wallet longer instead of being cashed out immediately, which means more digital transactions and retention).</w:t>
      </w:r>
    </w:p>
    <w:p>
      <w:pPr>
        <w:pStyle w:val="ListParagraph"/>
        <w:numPr>
          <w:ilvl w:val="0"/>
          <w:numId w:val="3"/>
        </w:numPr>
        <w:spacing w:after="80" w:line="300"/>
      </w:pPr>
      <w:r>
        <w:rPr>
          <w:b/>
          <w:bCs/>
        </w:rPr>
        <w:t xml:space="preserve">Innovation (10%): </w:t>
      </w:r>
      <w:r>
        <w:t xml:space="preserve">a two-sided product connecting the sender and the receiving family is distinctive.</w:t>
      </w:r>
    </w:p>
    <w:p>
      <w:pPr>
        <w:pStyle w:val="ListParagraph"/>
        <w:numPr>
          <w:ilvl w:val="0"/>
          <w:numId w:val="3"/>
        </w:numPr>
        <w:spacing w:after="80" w:line="300"/>
      </w:pPr>
      <w:r>
        <w:rPr>
          <w:b/>
          <w:bCs/>
        </w:rPr>
        <w:t xml:space="preserve">Demo appeal: </w:t>
      </w:r>
      <w:r>
        <w:t xml:space="preserve">show a remittance arriving, the system splitting it sensibly, a warning appearing mid-month, and a shared goal progress bar on both the sender's and family's screens.</w:t>
      </w:r>
    </w:p>
    <w:p>
      <w:pPr>
        <w:pStyle w:val="ListParagraph"/>
        <w:numPr>
          <w:ilvl w:val="0"/>
          <w:numId w:val="3"/>
        </w:numPr>
        <w:spacing w:after="80" w:line="300"/>
      </w:pPr>
      <w:r>
        <w:rPr>
          <w:b/>
          <w:bCs/>
        </w:rPr>
        <w:t xml:space="preserve">Final-day flexibility: </w:t>
      </w:r>
      <w:r>
        <w:t xml:space="preserve">easy to add new goals, a second income source, a delayed transfer scenario, or a new family member.</w:t>
      </w:r>
    </w:p>
    <w:p>
      <w:pPr>
        <w:pStyle w:val="Heading1"/>
      </w:pPr>
      <w:r>
        <w:t xml:space="preserve">Problem statement</w:t>
      </w:r>
    </w:p>
    <w:p>
      <w:pPr>
        <w:pBdr>
          <w:left w:val="single" w:color="0E6E9C" w:sz="18" w:space="8"/>
        </w:pBdr>
        <w:shd w:fill="EAF4F8" w:color="auto" w:val="clear"/>
        <w:spacing w:after="200" w:before="80" w:line="300"/>
        <w:ind w:left="360" w:right="360"/>
      </w:pPr>
      <w:r>
        <w:rPr>
          <w:i/>
          <w:iCs/>
        </w:rPr>
        <w:t xml:space="preserve">For families who depend on remittance from relatives abroad, irregular and unpredictable inflows combined with immediate full cash-outs cause recurring shortfalls and prevent long-term saving, while senders lack visibility into shared goals. We will build an AI remittance planner that uses synthetic household cash-flow data to forecast incoming transfers, recommend how to allocate each one, warn of shortfalls early, and track consent-based shared family goals, with success measured by forecast accuracy, reduction in simulated shortfall days, increase in savings rate, and share of remittance retained in the wallet.</w:t>
      </w:r>
    </w:p>
    <w:p>
      <w:pPr>
        <w:pStyle w:val="Heading1"/>
      </w:pPr>
      <w:r>
        <w:t xml:space="preserve">Metrics to show judges</w:t>
      </w:r>
    </w:p>
    <w:p>
      <w:pPr>
        <w:pStyle w:val="ListParagraph"/>
        <w:numPr>
          <w:ilvl w:val="0"/>
          <w:numId w:val="3"/>
        </w:numPr>
        <w:spacing w:after="80" w:line="300"/>
      </w:pPr>
      <w:r>
        <w:t xml:space="preserve">Forecast error for remittance timing and amount vs. a naive "same as last time" baseline</w:t>
      </w:r>
    </w:p>
    <w:p>
      <w:pPr>
        <w:pStyle w:val="ListParagraph"/>
        <w:numPr>
          <w:ilvl w:val="0"/>
          <w:numId w:val="3"/>
        </w:numPr>
        <w:spacing w:after="80" w:line="300"/>
      </w:pPr>
      <w:r>
        <w:t xml:space="preserve">Simulated shortfall days per household with and without RemitWise</w:t>
      </w:r>
    </w:p>
    <w:p>
      <w:pPr>
        <w:pStyle w:val="ListParagraph"/>
        <w:numPr>
          <w:ilvl w:val="0"/>
          <w:numId w:val="3"/>
        </w:numPr>
        <w:spacing w:after="80" w:line="300"/>
      </w:pPr>
      <w:r>
        <w:t xml:space="preserve">Savings rate and months of emergency buffer built over a simulated year</w:t>
      </w:r>
    </w:p>
    <w:p>
      <w:pPr>
        <w:pStyle w:val="ListParagraph"/>
        <w:numPr>
          <w:ilvl w:val="0"/>
          <w:numId w:val="3"/>
        </w:numPr>
        <w:spacing w:after="80" w:line="300"/>
      </w:pPr>
      <w:r>
        <w:t xml:space="preserve">Share of remittance kept in the wallet beyond the first 24 hours</w:t>
      </w:r>
    </w:p>
    <w:p>
      <w:pPr>
        <w:pStyle w:val="ListParagraph"/>
        <w:numPr>
          <w:ilvl w:val="0"/>
          <w:numId w:val="3"/>
        </w:numPr>
        <w:spacing w:after="80" w:line="300"/>
      </w:pPr>
      <w:r>
        <w:t xml:space="preserve">How often shortfall warnings correctly predicted a real shortage in the test data</w:t>
      </w:r>
    </w:p>
    <w:p>
      <w:pPr>
        <w:pStyle w:val="Heading1"/>
      </w:pPr>
      <w:r>
        <w:t xml:space="preserve">Responsible AI</w:t>
      </w:r>
    </w:p>
    <w:p>
      <w:pPr>
        <w:pStyle w:val="ListParagraph"/>
        <w:numPr>
          <w:ilvl w:val="0"/>
          <w:numId w:val="3"/>
        </w:numPr>
        <w:spacing w:after="80" w:line="300"/>
      </w:pPr>
      <w:r>
        <w:t xml:space="preserve">The family always decides; the system only recommends.</w:t>
      </w:r>
    </w:p>
    <w:p>
      <w:pPr>
        <w:pStyle w:val="ListParagraph"/>
        <w:numPr>
          <w:ilvl w:val="0"/>
          <w:numId w:val="3"/>
        </w:numPr>
        <w:spacing w:after="80" w:line="300"/>
      </w:pPr>
      <w:r>
        <w:t xml:space="preserve">Consent-based sharing: the sender sees goal progress only, not detailed spending, unless the family chooses to share more. This avoids enabling control or surveillance within families.</w:t>
      </w:r>
    </w:p>
    <w:p>
      <w:pPr>
        <w:pStyle w:val="ListParagraph"/>
        <w:numPr>
          <w:ilvl w:val="0"/>
          <w:numId w:val="3"/>
        </w:numPr>
        <w:spacing w:after="80" w:line="300"/>
      </w:pPr>
      <w:r>
        <w:t xml:space="preserve">No pressure to spend, no hidden fees, and no pushing of financial products.</w:t>
      </w:r>
    </w:p>
    <w:p>
      <w:pPr>
        <w:pStyle w:val="ListParagraph"/>
        <w:numPr>
          <w:ilvl w:val="0"/>
          <w:numId w:val="3"/>
        </w:numPr>
        <w:spacing w:after="80" w:line="300"/>
      </w:pPr>
      <w:r>
        <w:t xml:space="preserve">Fairness check: does forecasting work worse for households with very irregular or small transfers?</w:t>
      </w:r>
    </w:p>
    <w:p>
      <w:pPr>
        <w:pStyle w:val="ListParagraph"/>
        <w:numPr>
          <w:ilvl w:val="0"/>
          <w:numId w:val="3"/>
        </w:numPr>
        <w:spacing w:after="80" w:line="300"/>
      </w:pPr>
      <w:r>
        <w:t xml:space="preserve">Synthetic data only, with documented assumptions about remittance patterns.</w:t>
      </w:r>
    </w:p>
    <w:p>
      <w:pPr>
        <w:pStyle w:val="Heading1"/>
      </w:pPr>
      <w:r>
        <w:t xml:space="preserve">Main risk</w:t>
      </w:r>
    </w:p>
    <w:p>
      <w:pPr>
        <w:spacing w:after="120" w:line="300"/>
      </w:pPr>
      <w:r>
        <w:t xml:space="preserve">Judges may see it as "just a budgeting app." Prevent that by making the irregular-income forecast and the allocation logic clearly smarter than fixed rules, and by showing the side-by-side comparison of a simulated year with and without the system.</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RemitWise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color w:val="0F2A44"/>
      <w:sz w:val="48"/>
      <w:szCs w:val="48"/>
    </w:rPr>
  </w:style>
  <w:style w:type="paragraph" w:styleId="Heading1">
    <w:name w:val="Heading 1"/>
    <w:basedOn w:val="Normal"/>
    <w:next w:val="Normal"/>
    <w:qFormat/>
    <w:pPr>
      <w:spacing w:after="120" w:before="280"/>
      <w:outlineLvl w:val="0"/>
    </w:pPr>
    <w:rPr>
      <w:rFonts w:ascii="Arial" w:cs="Arial" w:eastAsia="Arial" w:hAnsi="Arial"/>
      <w:b/>
      <w:bCs/>
      <w:color w:val="0E6E9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2026-10-02T16:15:13.419Z</dcterms:created>
  <dcterms:modified xsi:type="dcterms:W3CDTF">2026-10-02T16:15:13.424Z</dcterms:modified>
</cp:coreProperties>
</file>

<file path=docProps/custom.xml><?xml version="1.0" encoding="utf-8"?>
<Properties xmlns="http://schemas.openxmlformats.org/officeDocument/2006/custom-properties" xmlns:vt="http://schemas.openxmlformats.org/officeDocument/2006/docPropsVTypes"/>
</file>