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 xml:space="preserve">আকৃতির মৌলিক সীমা আছে।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1585</TotalTime>
  <Application>LibreOffice/24.2.1.2$Linux_X86_64 LibreOffice_project/420$Build-2</Application>
  <AppVersion>15.0000</AppVersion>
  <Pages>5</Pages>
  <Words>1144</Words>
  <Characters>3668</Characters>
  <CharactersWithSpaces>4813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2024-03-17T12:45:33Z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file>