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 xml:space="preserve">ভারতীয়দের কাছে ঋণাত্মক সংখ্যা ব্যাপক সমাদর পেল। আসলে ভারত ও চীনেই ঋণাত্মক সংখ্যার আবির্ভাব।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825</TotalTime>
  <Application>LibreOffice/7.6.4.1$Linux_X86_64 LibreOffice_project/60$Build-1</Application>
  <AppVersion>15.0000</AppVersion>
  <Pages>3</Pages>
  <Words>1322</Words>
  <Characters>4001</Characters>
  <CharactersWithSpaces>5328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2024-02-09T12:20:07Z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file>