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t>আ</w:t>
      </w: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ফ্রি লাঞ্চ বলতে কিছু নেই।</w:t>
      </w:r>
    </w:p>
    <w:p>
      <w:pPr>
        <w:pStyle w:val="Normal"/>
        <w:widowControl/>
        <w:bidi w:val="0"/>
        <w:ind w:hanging="0" w:start="0" w:end="0"/>
        <w:jc w:val="end"/>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 xml:space="preserve">ভ্যাকুয়াম ক্ষয় হয়ে একটু নিম্ন অবস্থায় নেমে আসে।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6161</TotalTime>
  <Application>LibreOffice/24.2.1.2$Linux_X86_64 LibreOffice_project/420$Build-2</Application>
  <AppVersion>15.0000</AppVersion>
  <Pages>16</Pages>
  <Words>7675</Words>
  <Characters>23551</Characters>
  <CharactersWithSpaces>31339</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2024-03-11T18:59:42Z</dcterms:modified>
  <cp:revision>1862</cp:revision>
  <dc:subject/>
  <dc:title/>
</cp:coreProperties>
</file>

<file path=docProps/custom.xml><?xml version="1.0" encoding="utf-8"?>
<Properties xmlns="http://schemas.openxmlformats.org/officeDocument/2006/custom-properties" xmlns:vt="http://schemas.openxmlformats.org/officeDocument/2006/docPropsVTypes"/>
</file>