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Calibri"/>
          <w:b/>
          <w:b/>
          <w:bCs/>
          <w:sz w:val="22"/>
          <w:szCs w:val="22"/>
          <w:lang w:val="en-GB" w:eastAsia="en-US"/>
        </w:rPr>
      </w:pPr>
      <w:r>
        <w:rPr>
          <w:b/>
          <w:lang w:val="tr-TR"/>
        </w:rPr>
        <w:t>PERLİT OCAKLARINDAKİ OKSİT VE TOPRAK ALKALİ METAL DAĞILIMLARININ BELİRLENMESİ</w:t>
      </w:r>
    </w:p>
    <w:p>
      <w:pPr>
        <w:pStyle w:val="Normal"/>
        <w:jc w:val="right"/>
        <w:rPr>
          <w:rFonts w:eastAsia="Calibri"/>
          <w:b/>
          <w:b/>
          <w:bCs/>
          <w:lang w:val="tr-TR" w:eastAsia="en-US"/>
        </w:rPr>
      </w:pPr>
      <w:r>
        <w:rPr>
          <w:rFonts w:eastAsia="Calibri"/>
          <w:b/>
          <w:bCs/>
          <w:lang w:val="tr-TR" w:eastAsia="en-US"/>
        </w:rPr>
      </w:r>
    </w:p>
    <w:p>
      <w:pPr>
        <w:pStyle w:val="Normal"/>
        <w:jc w:val="right"/>
        <w:rPr>
          <w:rFonts w:eastAsia="Calibri"/>
          <w:b/>
          <w:b/>
          <w:sz w:val="22"/>
          <w:szCs w:val="22"/>
          <w:lang w:val="en-GB" w:eastAsia="en-US"/>
        </w:rPr>
      </w:pPr>
      <w:r>
        <w:rPr>
          <w:rFonts w:eastAsia="Calibri"/>
          <w:b/>
          <w:sz w:val="22"/>
          <w:szCs w:val="22"/>
          <w:lang w:val="en-GB" w:eastAsia="en-US"/>
        </w:rPr>
        <w:t>Savaş TÜRKDOĞAN</w:t>
      </w:r>
    </w:p>
    <w:p>
      <w:pPr>
        <w:pStyle w:val="Normal"/>
        <w:jc w:val="right"/>
        <w:rPr>
          <w:rFonts w:eastAsia="Calibri"/>
          <w:sz w:val="22"/>
          <w:szCs w:val="22"/>
          <w:lang w:val="en-GB" w:eastAsia="en-US"/>
        </w:rPr>
      </w:pPr>
      <w:r>
        <w:rPr>
          <w:rFonts w:eastAsia="Calibri"/>
          <w:sz w:val="22"/>
          <w:szCs w:val="22"/>
          <w:lang w:val="en-GB" w:eastAsia="en-US"/>
        </w:rPr>
        <w:t xml:space="preserve">  </w:t>
      </w:r>
      <w:r>
        <w:rPr>
          <w:rFonts w:eastAsia="Calibri"/>
          <w:sz w:val="22"/>
          <w:szCs w:val="22"/>
          <w:lang w:val="en-GB" w:eastAsia="en-US"/>
        </w:rPr>
        <w:t xml:space="preserve">Kastamonu University, Institute of Science, Department of Physics, </w:t>
      </w:r>
      <w:r>
        <w:rPr>
          <w:rFonts w:eastAsia="Arial Unicode MS"/>
          <w:sz w:val="22"/>
          <w:szCs w:val="22"/>
        </w:rPr>
        <w:t xml:space="preserve">37150 </w:t>
      </w:r>
      <w:r>
        <w:rPr>
          <w:rFonts w:eastAsia="Calibri"/>
          <w:sz w:val="22"/>
          <w:szCs w:val="22"/>
          <w:lang w:val="en-GB" w:eastAsia="en-US"/>
        </w:rPr>
        <w:t>Kuzeykent, Kastamonu</w:t>
      </w:r>
    </w:p>
    <w:p>
      <w:pPr>
        <w:pStyle w:val="Normal"/>
        <w:spacing w:before="0" w:after="120"/>
        <w:ind w:left="7082" w:hanging="0"/>
        <w:jc w:val="right"/>
        <w:rPr>
          <w:rFonts w:eastAsia="Calibri"/>
          <w:b/>
          <w:b/>
          <w:sz w:val="22"/>
          <w:szCs w:val="22"/>
          <w:lang w:val="en-GB" w:eastAsia="en-US"/>
        </w:rPr>
      </w:pPr>
      <w:r>
        <w:rPr>
          <w:rFonts w:eastAsia="Calibri"/>
          <w:b/>
          <w:sz w:val="22"/>
          <w:szCs w:val="22"/>
          <w:lang w:val="en-GB" w:eastAsia="en-US"/>
        </w:rPr>
        <w:t xml:space="preserve">    </w:t>
      </w:r>
      <w:r>
        <w:rPr>
          <w:rFonts w:eastAsia="Calibri"/>
          <w:b/>
          <w:sz w:val="22"/>
          <w:szCs w:val="22"/>
          <w:lang w:val="en-GB" w:eastAsia="en-US"/>
        </w:rPr>
        <w:t>ORCID:</w:t>
      </w:r>
    </w:p>
    <w:p>
      <w:pPr>
        <w:pStyle w:val="Normal"/>
        <w:jc w:val="right"/>
        <w:rPr>
          <w:rFonts w:eastAsia="Calibri"/>
          <w:b/>
          <w:b/>
          <w:bCs/>
          <w:lang w:val="tr-TR" w:eastAsia="en-US"/>
        </w:rPr>
      </w:pPr>
      <w:r>
        <w:rPr>
          <w:rFonts w:eastAsia="Calibri"/>
          <w:b/>
          <w:bCs/>
          <w:lang w:val="tr-TR" w:eastAsia="en-US"/>
        </w:rPr>
        <w:t>Aybaba HANÇERLİOĞULLARI</w:t>
      </w:r>
    </w:p>
    <w:p>
      <w:pPr>
        <w:pStyle w:val="Normal"/>
        <w:jc w:val="right"/>
        <w:rPr>
          <w:rFonts w:eastAsia="Calibri"/>
          <w:sz w:val="22"/>
          <w:szCs w:val="22"/>
          <w:lang w:val="en-GB" w:eastAsia="en-US"/>
        </w:rPr>
      </w:pPr>
      <w:r>
        <w:rPr>
          <w:rFonts w:eastAsia="Calibri"/>
          <w:sz w:val="22"/>
          <w:szCs w:val="22"/>
          <w:lang w:val="en-GB" w:eastAsia="en-US"/>
        </w:rPr>
        <w:t xml:space="preserve">  </w:t>
      </w:r>
      <w:r>
        <w:rPr>
          <w:rFonts w:eastAsia="Calibri"/>
          <w:sz w:val="22"/>
          <w:szCs w:val="22"/>
          <w:lang w:val="en-GB" w:eastAsia="en-US"/>
        </w:rPr>
        <w:t xml:space="preserve">Kastamonu University, Faculty of Science, Department of Physics, </w:t>
      </w:r>
      <w:r>
        <w:rPr>
          <w:rFonts w:eastAsia="Arial Unicode MS"/>
          <w:sz w:val="22"/>
          <w:szCs w:val="22"/>
        </w:rPr>
        <w:t xml:space="preserve">37150 </w:t>
      </w:r>
      <w:r>
        <w:rPr>
          <w:rFonts w:eastAsia="Calibri"/>
          <w:sz w:val="22"/>
          <w:szCs w:val="22"/>
          <w:lang w:val="en-GB" w:eastAsia="en-US"/>
        </w:rPr>
        <w:t xml:space="preserve">Kuzeykent, Kastamonu </w:t>
      </w:r>
    </w:p>
    <w:p>
      <w:pPr>
        <w:pStyle w:val="Normal"/>
        <w:spacing w:before="0" w:after="120"/>
        <w:jc w:val="right"/>
        <w:rPr>
          <w:rFonts w:eastAsia="Calibri"/>
          <w:sz w:val="22"/>
          <w:szCs w:val="22"/>
          <w:lang w:val="en-GB" w:eastAsia="en-US"/>
        </w:rPr>
      </w:pPr>
      <w:r>
        <w:rPr>
          <w:rFonts w:eastAsia="Calibri"/>
          <w:b/>
          <w:bCs/>
          <w:sz w:val="22"/>
          <w:szCs w:val="22"/>
          <w:lang w:val="en-GB" w:eastAsia="en-US"/>
        </w:rPr>
        <w:t>ORCID:</w:t>
      </w:r>
      <w:r>
        <w:rPr>
          <w:rFonts w:eastAsia="Calibri"/>
          <w:sz w:val="22"/>
          <w:szCs w:val="22"/>
          <w:lang w:val="en-GB" w:eastAsia="en-US"/>
        </w:rPr>
        <w:t xml:space="preserve"> 0000-0000-1700-8480</w:t>
      </w:r>
    </w:p>
    <w:p>
      <w:pPr>
        <w:pStyle w:val="Normal"/>
        <w:ind w:left="7080" w:hanging="0"/>
        <w:jc w:val="right"/>
        <w:rPr>
          <w:rFonts w:eastAsia="Calibri"/>
          <w:b/>
          <w:b/>
          <w:sz w:val="22"/>
          <w:szCs w:val="22"/>
          <w:lang w:val="en-GB" w:eastAsia="en-US"/>
        </w:rPr>
      </w:pPr>
      <w:r>
        <w:rPr>
          <w:rFonts w:eastAsia="Calibri"/>
          <w:b/>
          <w:sz w:val="22"/>
          <w:szCs w:val="22"/>
          <w:lang w:val="en-GB" w:eastAsia="en-US"/>
        </w:rPr>
        <w:t>Aslı KURNAZ</w:t>
      </w:r>
    </w:p>
    <w:p>
      <w:pPr>
        <w:pStyle w:val="Normal"/>
        <w:jc w:val="right"/>
        <w:rPr>
          <w:rFonts w:eastAsia="Calibri"/>
          <w:sz w:val="22"/>
          <w:szCs w:val="22"/>
          <w:lang w:val="en-GB" w:eastAsia="en-US"/>
        </w:rPr>
      </w:pPr>
      <w:r>
        <w:rPr>
          <w:rFonts w:eastAsia="Calibri"/>
          <w:sz w:val="22"/>
          <w:szCs w:val="22"/>
          <w:lang w:val="en-GB" w:eastAsia="en-US"/>
        </w:rPr>
        <w:t xml:space="preserve">  </w:t>
      </w:r>
      <w:r>
        <w:rPr>
          <w:rFonts w:eastAsia="Calibri"/>
          <w:sz w:val="22"/>
          <w:szCs w:val="22"/>
          <w:lang w:val="en-GB" w:eastAsia="en-US"/>
        </w:rPr>
        <w:t xml:space="preserve">Kastamonu University, Faculty of Science, Department of Physics, </w:t>
      </w:r>
      <w:r>
        <w:rPr>
          <w:rFonts w:eastAsia="Arial Unicode MS"/>
          <w:sz w:val="22"/>
          <w:szCs w:val="22"/>
        </w:rPr>
        <w:t xml:space="preserve">37150 </w:t>
      </w:r>
      <w:r>
        <w:rPr>
          <w:rFonts w:eastAsia="Calibri"/>
          <w:sz w:val="22"/>
          <w:szCs w:val="22"/>
          <w:lang w:val="en-GB" w:eastAsia="en-US"/>
        </w:rPr>
        <w:t>Kuzeykent, Kastamonu</w:t>
      </w:r>
    </w:p>
    <w:p>
      <w:pPr>
        <w:pStyle w:val="Normal"/>
        <w:spacing w:before="0" w:after="120"/>
        <w:ind w:left="5664" w:hanging="0"/>
        <w:jc w:val="right"/>
        <w:rPr>
          <w:rFonts w:eastAsia="Calibri"/>
          <w:sz w:val="22"/>
          <w:szCs w:val="22"/>
          <w:lang w:val="en-GB" w:eastAsia="en-US"/>
        </w:rPr>
      </w:pPr>
      <w:r>
        <w:rPr>
          <w:rFonts w:eastAsia="Calibri"/>
          <w:b/>
          <w:sz w:val="22"/>
          <w:szCs w:val="22"/>
          <w:lang w:val="en-GB" w:eastAsia="en-US"/>
        </w:rPr>
        <w:t xml:space="preserve">    </w:t>
      </w:r>
      <w:r>
        <w:rPr>
          <w:rFonts w:eastAsia="Calibri"/>
          <w:b/>
          <w:sz w:val="22"/>
          <w:szCs w:val="22"/>
          <w:lang w:val="en-GB" w:eastAsia="en-US"/>
        </w:rPr>
        <w:t xml:space="preserve">ORCID: </w:t>
      </w:r>
      <w:r>
        <w:rPr>
          <w:rFonts w:eastAsia="Calibri"/>
          <w:sz w:val="22"/>
          <w:szCs w:val="22"/>
          <w:lang w:val="en-GB" w:eastAsia="en-US"/>
        </w:rPr>
        <w:t>0000-0002-7910-3461</w:t>
      </w:r>
    </w:p>
    <w:p>
      <w:pPr>
        <w:pStyle w:val="Normal"/>
        <w:ind w:left="4248" w:firstLine="708"/>
        <w:jc w:val="right"/>
        <w:rPr>
          <w:rFonts w:eastAsia="Calibri"/>
          <w:b/>
          <w:b/>
          <w:bCs/>
          <w:sz w:val="22"/>
          <w:szCs w:val="22"/>
          <w:lang w:val="en-GB" w:eastAsia="en-US"/>
        </w:rPr>
      </w:pPr>
      <w:r>
        <w:rPr>
          <w:rFonts w:eastAsia="Calibri"/>
          <w:b/>
          <w:bCs/>
          <w:sz w:val="22"/>
          <w:szCs w:val="22"/>
          <w:lang w:val="en-GB" w:eastAsia="en-US"/>
        </w:rPr>
        <w:t>Şeref TURHAN</w:t>
      </w:r>
    </w:p>
    <w:p>
      <w:pPr>
        <w:pStyle w:val="Normal"/>
        <w:jc w:val="right"/>
        <w:rPr>
          <w:rFonts w:eastAsia="Calibri"/>
          <w:sz w:val="22"/>
          <w:szCs w:val="22"/>
          <w:lang w:val="en-GB" w:eastAsia="en-US"/>
        </w:rPr>
      </w:pPr>
      <w:r>
        <w:rPr>
          <w:rFonts w:eastAsia="Calibri"/>
          <w:sz w:val="22"/>
          <w:szCs w:val="22"/>
          <w:lang w:val="en-GB" w:eastAsia="en-US"/>
        </w:rPr>
        <w:t xml:space="preserve">  </w:t>
      </w:r>
      <w:r>
        <w:rPr>
          <w:rFonts w:eastAsia="Calibri"/>
          <w:sz w:val="22"/>
          <w:szCs w:val="22"/>
          <w:lang w:val="en-GB" w:eastAsia="en-US"/>
        </w:rPr>
        <w:t xml:space="preserve">Kastamonu University, Faculty of Science, Department of Physics, </w:t>
      </w:r>
      <w:r>
        <w:rPr>
          <w:rFonts w:eastAsia="Arial Unicode MS"/>
          <w:sz w:val="22"/>
          <w:szCs w:val="22"/>
        </w:rPr>
        <w:t xml:space="preserve">37150 </w:t>
      </w:r>
      <w:r>
        <w:rPr>
          <w:rFonts w:eastAsia="Calibri"/>
          <w:sz w:val="22"/>
          <w:szCs w:val="22"/>
          <w:lang w:val="en-GB" w:eastAsia="en-US"/>
        </w:rPr>
        <w:t>Kuzeykent, Kastamonu</w:t>
      </w:r>
    </w:p>
    <w:p>
      <w:pPr>
        <w:pStyle w:val="Normal"/>
        <w:spacing w:lineRule="auto" w:line="360"/>
        <w:jc w:val="right"/>
        <w:rPr>
          <w:rFonts w:eastAsia="Calibri"/>
          <w:sz w:val="22"/>
          <w:szCs w:val="22"/>
          <w:lang w:val="en-GB" w:eastAsia="en-US"/>
        </w:rPr>
      </w:pPr>
      <w:r>
        <w:rPr>
          <w:rFonts w:eastAsia="Calibri"/>
          <w:b/>
          <w:bCs/>
          <w:sz w:val="22"/>
          <w:szCs w:val="22"/>
          <w:lang w:val="en-GB" w:eastAsia="en-US"/>
        </w:rPr>
        <w:t>ORCID:</w:t>
      </w:r>
      <w:r>
        <w:rPr>
          <w:rFonts w:eastAsia="Calibri"/>
          <w:sz w:val="22"/>
          <w:szCs w:val="22"/>
          <w:lang w:val="en-GB" w:eastAsia="en-US"/>
        </w:rPr>
        <w:t xml:space="preserve"> 0000-0001-5303-3680</w:t>
      </w:r>
    </w:p>
    <w:p>
      <w:pPr>
        <w:pStyle w:val="Normal"/>
        <w:ind w:left="5664" w:hanging="0"/>
        <w:jc w:val="right"/>
        <w:rPr>
          <w:rFonts w:eastAsia="Calibri"/>
          <w:b/>
          <w:b/>
          <w:sz w:val="22"/>
          <w:szCs w:val="22"/>
          <w:lang w:val="en-GB" w:eastAsia="en-US"/>
        </w:rPr>
      </w:pPr>
      <w:r>
        <w:rPr>
          <w:rFonts w:eastAsia="Calibri"/>
          <w:b/>
          <w:sz w:val="22"/>
          <w:szCs w:val="22"/>
          <w:lang w:val="en-GB" w:eastAsia="en-US"/>
        </w:rPr>
      </w:r>
    </w:p>
    <w:p>
      <w:pPr>
        <w:pStyle w:val="Normal"/>
        <w:spacing w:lineRule="auto" w:line="360"/>
        <w:rPr>
          <w:rFonts w:eastAsia="Arial Unicode MS"/>
          <w:b/>
          <w:b/>
        </w:rPr>
      </w:pPr>
      <w:r>
        <w:rPr>
          <w:rFonts w:eastAsia="Arial Unicode MS"/>
          <w:b/>
        </w:rPr>
        <w:t>ÖZET</w:t>
      </w:r>
    </w:p>
    <w:p>
      <w:pPr>
        <w:pStyle w:val="Normal"/>
        <w:spacing w:lineRule="auto" w:line="360"/>
        <w:jc w:val="both"/>
        <w:rPr>
          <w:lang w:val="tr-TR"/>
        </w:rPr>
      </w:pPr>
      <w:r>
        <w:rPr>
          <w:color w:val="000000"/>
          <w:lang w:val="tr-TR"/>
        </w:rPr>
        <w:t>Perlit volkanik kökenli bir kayaçtır. Soğuyan lavların hidrasyonuyla doğal olarak oluştuğu için volkanik cam olarak da isimlendirilir. Perlit minerali nispeten büyük miktarlarda kimyasal olarak bağlı su içerir ve bu özelliği genişlemesine neden olur. Perlitler mineralleri, tavan döşemelerinde, boru izolasyonunda, alçı duvar kaplamasında, kriyojenik izolasyonda, dolgu maddelerinde, filtreleme malzemelerinde, hafif çimento için agregatların hazırlanmasında, ağır metallerin uzaklaştırılmasında ve partiküllerin atmosferden adsorbsiyonunda, ısı yalıtkanlarında, yağın emilmesinde, çatı panellerinde, köpüklerde, yangın geciktiricilerde, tuğla ürünlerinde, bahçecilikte, cam kap üretiminde, mikroorganizma taşıyıcılarında, çimento harcının mekanik ve termal özelliklerini iyileştirilmesinde kullanılan çok yönlü malzemelerdir. Bu minerallerin, hangi sektörde nasıl kullanılacağı kimyasal içeriğine bağlıdır. Bu yüzden Türkiye'deki perlit ocaklarının majör ve minör oksit dağılımlarının belirlenmesi önem arz etmektedir. Bu çalışmada ilk kez Türkiye'nin farklı şehirlerinde bulunan 12 perlit ocağından toplanan 126 perlit örneği ilk defa ayrıntılı olarak analize tabi tutuldu.</w:t>
      </w:r>
      <w:r>
        <w:rPr>
          <w:rFonts w:eastAsia="Arial Unicode MS"/>
          <w:lang w:val="tr-TR"/>
        </w:rPr>
        <w:t xml:space="preserve"> Perlit örneklerindeki majör-minör oksitlerin ve toprak alkali metallerin (Mg, Ca, Ba ve Sr) seviyeleri,bir enerji dağılımlı X-ışını floresans spektrometresi kullanılarak belirlendi. </w:t>
      </w:r>
      <w:r>
        <w:rPr>
          <w:lang w:val="tr-TR"/>
        </w:rPr>
        <w:t>İncelenen sepiyolit örneklerinde analiz edilen majör ve minör oksitler ortalama derişimlerine (mg/kg cinsinden) göre SiO</w:t>
      </w:r>
      <w:r>
        <w:rPr>
          <w:vertAlign w:val="subscript"/>
          <w:lang w:val="tr-TR"/>
        </w:rPr>
        <w:t>2</w:t>
      </w:r>
      <w:r>
        <w:rPr>
          <w:lang w:val="tr-TR"/>
        </w:rPr>
        <w:t xml:space="preserve"> (75.18) &gt; Al</w:t>
      </w:r>
      <w:r>
        <w:rPr>
          <w:vertAlign w:val="subscript"/>
          <w:lang w:val="tr-TR"/>
        </w:rPr>
        <w:t>2</w:t>
      </w:r>
      <w:r>
        <w:rPr>
          <w:lang w:val="tr-TR"/>
        </w:rPr>
        <w:t>O</w:t>
      </w:r>
      <w:r>
        <w:rPr>
          <w:vertAlign w:val="subscript"/>
          <w:lang w:val="tr-TR"/>
        </w:rPr>
        <w:t>3</w:t>
      </w:r>
      <w:r>
        <w:rPr>
          <w:lang w:val="tr-TR"/>
        </w:rPr>
        <w:t xml:space="preserve"> (15.65) &gt; Na</w:t>
      </w:r>
      <w:r>
        <w:rPr>
          <w:vertAlign w:val="subscript"/>
          <w:lang w:val="tr-TR"/>
        </w:rPr>
        <w:t>2</w:t>
      </w:r>
      <w:r>
        <w:rPr>
          <w:lang w:val="tr-TR"/>
        </w:rPr>
        <w:t>O (5.94) &gt; K</w:t>
      </w:r>
      <w:r>
        <w:rPr>
          <w:vertAlign w:val="subscript"/>
          <w:lang w:val="tr-TR"/>
        </w:rPr>
        <w:t>2</w:t>
      </w:r>
      <w:r>
        <w:rPr>
          <w:lang w:val="tr-TR"/>
        </w:rPr>
        <w:t>O (3.49) &gt; Fe</w:t>
      </w:r>
      <w:r>
        <w:rPr>
          <w:vertAlign w:val="subscript"/>
          <w:lang w:val="tr-TR"/>
        </w:rPr>
        <w:t>2</w:t>
      </w:r>
      <w:r>
        <w:rPr>
          <w:lang w:val="tr-TR"/>
        </w:rPr>
        <w:t>O</w:t>
      </w:r>
      <w:r>
        <w:rPr>
          <w:vertAlign w:val="subscript"/>
          <w:lang w:val="tr-TR"/>
        </w:rPr>
        <w:t>3</w:t>
      </w:r>
      <w:r>
        <w:rPr>
          <w:lang w:val="tr-TR"/>
        </w:rPr>
        <w:t xml:space="preserve"> (0.94) &gt; CaO (0.71) &gt; MgO (0.56) &gt; TiO</w:t>
      </w:r>
      <w:r>
        <w:rPr>
          <w:vertAlign w:val="subscript"/>
          <w:lang w:val="tr-TR"/>
        </w:rPr>
        <w:t>2</w:t>
      </w:r>
      <w:r>
        <w:rPr>
          <w:lang w:val="tr-TR"/>
        </w:rPr>
        <w:t xml:space="preserve"> (0.09) &gt; MnO (0.02) olarak sıralandı. Perlit örneklerinde analiz edilen Ca, Mg, Ba ve Sr’nin ortalama derişimleri, sırasıyla 5099 mg/kg, 3333 mg/kg, 569 mg/kg ve 50 mg/kg olarak bulundu.</w:t>
      </w:r>
    </w:p>
    <w:p>
      <w:pPr>
        <w:pStyle w:val="Normal"/>
        <w:spacing w:lineRule="auto" w:line="360"/>
        <w:jc w:val="both"/>
        <w:rPr>
          <w:rFonts w:eastAsia="Arial Unicode MS"/>
          <w:lang w:val="tr-TR"/>
        </w:rPr>
      </w:pPr>
      <w:r>
        <w:rPr>
          <w:rFonts w:eastAsia="Arial Unicode MS"/>
          <w:b/>
          <w:lang w:val="tr-TR"/>
        </w:rPr>
        <w:t>Anahtar Kelimeler:</w:t>
      </w:r>
      <w:r>
        <w:rPr>
          <w:lang w:val="tr-TR"/>
        </w:rPr>
        <w:t xml:space="preserve"> Perlit</w:t>
      </w:r>
      <w:r>
        <w:rPr>
          <w:rFonts w:eastAsia="Arial Unicode MS"/>
          <w:lang w:val="tr-TR"/>
        </w:rPr>
        <w:t>, majör ve minör oksitler, toprak alkali metal, EDXRF</w:t>
      </w:r>
    </w:p>
    <w:p>
      <w:pPr>
        <w:pStyle w:val="Normal"/>
        <w:spacing w:lineRule="auto" w:line="360"/>
        <w:jc w:val="center"/>
        <w:rPr>
          <w:rFonts w:eastAsia="Arial Unicode MS"/>
          <w:b/>
          <w:b/>
        </w:rPr>
      </w:pPr>
      <w:r>
        <w:rPr>
          <w:rFonts w:eastAsia="Arial Unicode MS"/>
          <w:b/>
        </w:rPr>
        <w:t>DETERMINATION OF OXIDE AND ALKALINE EARTH METAL DISTRIBUTIONS IN PERLITE MINERALS</w:t>
      </w:r>
    </w:p>
    <w:p>
      <w:pPr>
        <w:pStyle w:val="Normal"/>
        <w:spacing w:lineRule="auto" w:line="360"/>
        <w:jc w:val="center"/>
        <w:rPr>
          <w:rFonts w:eastAsia="Arial Unicode MS"/>
          <w:b/>
          <w:b/>
        </w:rPr>
      </w:pPr>
      <w:r>
        <w:rPr>
          <w:rFonts w:eastAsia="Arial Unicode MS"/>
          <w:b/>
        </w:rPr>
      </w:r>
    </w:p>
    <w:p>
      <w:pPr>
        <w:pStyle w:val="Normal"/>
        <w:spacing w:lineRule="auto" w:line="360"/>
        <w:rPr>
          <w:b/>
          <w:b/>
        </w:rPr>
      </w:pPr>
      <w:r>
        <w:rPr>
          <w:b/>
        </w:rPr>
        <w:t xml:space="preserve">ABSTRACT  </w:t>
      </w:r>
    </w:p>
    <w:p>
      <w:pPr>
        <w:pStyle w:val="Normal"/>
        <w:spacing w:lineRule="auto" w:line="360"/>
        <w:jc w:val="both"/>
        <w:rPr>
          <w:lang w:val="tr-TR"/>
        </w:rPr>
      </w:pPr>
      <w:r>
        <w:rPr/>
        <w:t xml:space="preserve">Visualization is a fundamental component of statistical analysis and prediction, enabling clear data description and informed model selection. While various methods exist for visualizing event data, there is a notable gap in representing events on a clock face. In this paper, we introduce clockplot, a </w:t>
      </w:r>
      <w:r>
        <w:rPr/>
        <w:t>method to plot</w:t>
      </w:r>
      <w:r>
        <w:rPr/>
        <w:t xml:space="preserve"> timestamped events on a 24-hour circular clock face. This approach offers a powerful way to perceive the precise timing of events and facilitates intuitive comparisons with other events. The clockplot</w:t>
      </w:r>
      <w:r>
        <w:rPr/>
        <w:t>s</w:t>
      </w:r>
      <w:r>
        <w:rPr/>
        <w:t xml:space="preserve">  </w:t>
      </w:r>
      <w:r>
        <w:rPr/>
        <w:t>are</w:t>
      </w:r>
      <w:r>
        <w:rPr/>
        <w:t xml:space="preserve"> particularly useful for analyzing daily patterns, event clustering, and temporal gaps. For event times, it is significantly more revealing than conventional visualizations like bar or pie charts. </w:t>
      </w:r>
      <w:r>
        <w:rPr/>
        <w:t xml:space="preserve">This technique </w:t>
      </w:r>
      <w:r>
        <w:rPr/>
        <w:t>enables effective event planning and pattern analysis across multiple periods, providing a new and insightful tool for temporal data analysis.</w:t>
      </w:r>
    </w:p>
    <w:p>
      <w:pPr>
        <w:pStyle w:val="Normal"/>
        <w:spacing w:lineRule="auto" w:line="480"/>
        <w:jc w:val="both"/>
        <w:rPr/>
      </w:pPr>
      <w:r>
        <w:rPr>
          <w:b/>
        </w:rPr>
        <w:t>Keywords:</w:t>
      </w:r>
      <w:r>
        <w:rPr/>
        <w:t xml:space="preserve"> Visualization, </w:t>
      </w:r>
      <w:r>
        <w:rPr/>
        <w:t xml:space="preserve">Timestamp, </w:t>
      </w:r>
      <w:r>
        <w:rPr/>
        <w:t>Pattern</w:t>
      </w:r>
    </w:p>
    <w:p>
      <w:pPr>
        <w:pStyle w:val="Normal"/>
        <w:spacing w:lineRule="auto" w:line="480"/>
        <w:jc w:val="both"/>
        <w:rPr/>
      </w:pPr>
      <w:r>
        <w:rPr/>
      </w:r>
    </w:p>
    <w:p>
      <w:pPr>
        <w:pStyle w:val="Normal"/>
        <w:spacing w:lineRule="auto" w:line="480"/>
        <w:jc w:val="both"/>
        <w:rPr>
          <w:b/>
          <w:b/>
          <w:lang w:val="en-GB"/>
        </w:rPr>
      </w:pPr>
      <w:r>
        <w:rPr>
          <w:b/>
          <w:lang w:val="en-GB"/>
        </w:rPr>
        <w:t>1. INTRODUCTION</w:t>
      </w:r>
    </w:p>
    <w:p>
      <w:pPr>
        <w:pStyle w:val="Normal"/>
        <w:spacing w:lineRule="auto" w:line="480"/>
        <w:jc w:val="both"/>
        <w:rPr>
          <w:lang w:val="en-GB"/>
        </w:rPr>
      </w:pPr>
      <w:r>
        <w:rPr/>
        <w:t>The origins of modern statistical graphics are most notably traced to the late 18th century, when William Playfair introduced the line chart, bar chart, and pie chart as innovative visual forms for representing economic data in his seminal works The Commercial and Political Atlas (Playfair, 1786) and The Statistical Breviary (Playfair, 1801). These developments marked a foundational shift from numerical tables to visually intuitive representations of quantitative information. Earlier antecedents, including Priestley’s timelines (Priestley, 1765) and even medieval kinematic diagrams, provided important conceptual and practical precursors to these advances.</w:t>
      </w:r>
    </w:p>
    <w:p>
      <w:pPr>
        <w:pStyle w:val="Normal"/>
        <w:spacing w:lineRule="auto" w:line="480"/>
        <w:jc w:val="both"/>
        <w:rPr>
          <w:lang w:val="en-GB"/>
        </w:rPr>
      </w:pPr>
      <w:r>
        <w:rPr/>
      </w:r>
    </w:p>
    <w:p>
      <w:pPr>
        <w:pStyle w:val="Normal"/>
        <w:spacing w:lineRule="auto" w:line="480"/>
        <w:jc w:val="both"/>
        <w:rPr>
          <w:lang w:val="en-GB"/>
        </w:rPr>
      </w:pPr>
      <w:r>
        <w:rPr/>
        <w:t>Throughout the 19th century, graphical methods expanded into new domains, including thematic cartography—exemplified by Dupin’s choropleth maps—and polar-area diagrams, such as those developed by Florence Nightingale for communicating causes of mortality in military hospitals (Friendly, 2008). By the fin de siècle, Karl Pearson had formalized the histogram as a rigorous tool for representing continuous distributions, thereby cementing its role in statistical practice (Pearson, 1895).</w:t>
      </w:r>
    </w:p>
    <w:p>
      <w:pPr>
        <w:pStyle w:val="Normal"/>
        <w:spacing w:lineRule="auto" w:line="480"/>
        <w:jc w:val="both"/>
        <w:rPr>
          <w:lang w:val="en-GB"/>
        </w:rPr>
      </w:pPr>
      <w:r>
        <w:rPr/>
      </w:r>
    </w:p>
    <w:p>
      <w:pPr>
        <w:pStyle w:val="Normal"/>
        <w:spacing w:lineRule="auto" w:line="480"/>
        <w:jc w:val="both"/>
        <w:rPr>
          <w:lang w:val="en-GB"/>
        </w:rPr>
      </w:pPr>
      <w:r>
        <w:rPr/>
        <w:t>In the mid-to-late 20th century, John Tukey’s development of the box-and-whisker plot—popularized in his 1977 work Exploratory Data Analysis—provided a compact, non-parametric summary of distributions using quartiles and outliers (Tukey, 1977). More broadly, his framework for Exploratory Data Analysis (EDA) elevated the role of visualization as essential for uncovering latent structures beyond the scope of confirmatory methods.</w:t>
      </w:r>
    </w:p>
    <w:p>
      <w:pPr>
        <w:pStyle w:val="Normal"/>
        <w:spacing w:lineRule="auto" w:line="480"/>
        <w:jc w:val="both"/>
        <w:rPr>
          <w:lang w:val="en-GB"/>
        </w:rPr>
      </w:pPr>
      <w:r>
        <w:rPr/>
      </w:r>
    </w:p>
    <w:p>
      <w:pPr>
        <w:pStyle w:val="Normal"/>
        <w:spacing w:lineRule="auto" w:line="480"/>
        <w:jc w:val="both"/>
        <w:rPr>
          <w:lang w:val="en-GB"/>
        </w:rPr>
      </w:pPr>
      <w:r>
        <w:rPr/>
        <w:t>Each of these graphical forms has since undergone substantial refinement through both technological and methodological innovations—including notched boxplots, density plots, donut charts, and interactive geographic overlays—continuing to enhance the clarity, utility, and interpretive depth of statistical communication (Wickham &amp; Grolemund, 2017; Unwin, 2020).</w:t>
      </w:r>
    </w:p>
    <w:p>
      <w:pPr>
        <w:pStyle w:val="Normal"/>
        <w:spacing w:lineRule="auto" w:line="480"/>
        <w:jc w:val="both"/>
        <w:rPr>
          <w:lang w:val="en-GB"/>
        </w:rPr>
      </w:pPr>
      <w:r>
        <w:rPr/>
      </w:r>
    </w:p>
    <w:p>
      <w:pPr>
        <w:pStyle w:val="Normal"/>
        <w:spacing w:lineRule="auto" w:line="360"/>
        <w:jc w:val="both"/>
        <w:rPr/>
      </w:pPr>
      <w:r>
        <w:rPr/>
      </w:r>
    </w:p>
    <w:p>
      <w:pPr>
        <w:pStyle w:val="Normal"/>
        <w:shd w:val="clear" w:color="auto" w:fill="FFFFFF"/>
        <w:spacing w:lineRule="auto" w:line="480"/>
        <w:jc w:val="both"/>
        <w:rPr>
          <w:lang w:val="en-GB"/>
        </w:rPr>
      </w:pPr>
      <w:r>
        <w:rPr>
          <w:b/>
          <w:lang w:val="en-GB"/>
        </w:rPr>
        <w:t xml:space="preserve">2. MATERIAL AND METHODS </w:t>
      </w:r>
    </w:p>
    <w:p>
      <w:pPr>
        <w:pStyle w:val="Normal"/>
        <w:spacing w:lineRule="auto" w:line="480"/>
        <w:jc w:val="both"/>
        <w:rPr>
          <w:b/>
          <w:b/>
          <w:color w:val="000000"/>
          <w:lang w:val="en-GB"/>
        </w:rPr>
      </w:pPr>
      <w:r>
        <w:rPr>
          <w:b/>
        </w:rPr>
        <w:t>2.1. C</w:t>
      </w:r>
      <w:r>
        <w:rPr>
          <w:b/>
          <w:color w:val="000000"/>
          <w:lang w:val="en-GB"/>
        </w:rPr>
        <w:t xml:space="preserve">ollection and preparation </w:t>
      </w:r>
    </w:p>
    <w:p>
      <w:pPr>
        <w:pStyle w:val="Normal"/>
        <w:spacing w:lineRule="auto" w:line="480"/>
        <w:jc w:val="both"/>
        <w:rPr>
          <w:color w:val="000000"/>
        </w:rPr>
      </w:pPr>
      <w:r>
        <w:rPr>
          <w:lang w:val="en-GB"/>
        </w:rPr>
        <w:t>A total of 126 perlite</w:t>
      </w:r>
      <w:r>
        <w:rPr>
          <w:color w:val="000000" w:themeColor="text1"/>
          <w:shd w:fill="FFFFFF" w:val="clear"/>
          <w:lang w:val="en-GB"/>
        </w:rPr>
        <w:t xml:space="preserve"> samples were obtained from 12 perlite quarries (PERQs) located in Erzurum, İzmir, Ankara, and Nevşehir provinces of Turkey (Table 3</w:t>
      </w:r>
      <w:r>
        <w:rPr>
          <w:shd w:fill="FFFFFF" w:val="clear"/>
          <w:lang w:val="en-GB"/>
        </w:rPr>
        <w:t>). The</w:t>
      </w:r>
      <w:r>
        <w:rPr>
          <w:color w:val="000000"/>
        </w:rPr>
        <w:t xml:space="preserve"> perlite samples were carried to the laboratory of sample preparation and </w:t>
      </w:r>
      <w:r>
        <w:rPr>
          <w:rFonts w:eastAsia="AdvTimes"/>
          <w:lang w:val="en-GB"/>
        </w:rPr>
        <w:t xml:space="preserve">dried in a temperature–controlled furnace at 110 </w:t>
      </w:r>
      <w:r>
        <w:rPr>
          <w:rFonts w:eastAsia="Symbol" w:cs="Symbol" w:ascii="Symbol" w:hAnsi="Symbol"/>
          <w:lang w:val="en-GB"/>
        </w:rPr>
        <w:t></w:t>
      </w:r>
      <w:r>
        <w:rPr>
          <w:rFonts w:eastAsia="AdvTimes"/>
          <w:lang w:val="en-GB"/>
        </w:rPr>
        <w:t>C for 15 h to remove moisture.</w:t>
      </w:r>
      <w:r>
        <w:rPr/>
        <w:t xml:space="preserve"> Then, the samples</w:t>
      </w:r>
      <w:r>
        <w:rPr>
          <w:shd w:fill="FFFFFF" w:val="clear"/>
        </w:rPr>
        <w:t xml:space="preserve"> </w:t>
      </w:r>
      <w:r>
        <w:rPr/>
        <w:t xml:space="preserve">were crushed and </w:t>
      </w:r>
      <w:r>
        <w:rPr>
          <w:color w:val="000000"/>
        </w:rPr>
        <w:t>pulverized</w:t>
      </w:r>
      <w:r>
        <w:rPr/>
        <w:t xml:space="preserve"> </w:t>
      </w:r>
      <w:r>
        <w:rPr>
          <w:color w:val="000000"/>
        </w:rPr>
        <w:t>to get the calibrated powder geometry. A few grams of each perlite sample were taken for analysis.</w:t>
      </w:r>
    </w:p>
    <w:p>
      <w:pPr>
        <w:pStyle w:val="Normal"/>
        <w:spacing w:lineRule="auto" w:line="480"/>
        <w:jc w:val="both"/>
        <w:rPr/>
      </w:pPr>
      <w:r>
        <w:rPr>
          <w:color w:val="000000"/>
        </w:rPr>
        <w:t xml:space="preserve"> </w:t>
      </w:r>
      <w:r>
        <w:rPr>
          <w:b/>
        </w:rPr>
        <w:t xml:space="preserve">Table 3. </w:t>
      </w:r>
      <w:r>
        <w:rPr/>
        <w:t xml:space="preserve">Information on perlite quarries </w:t>
      </w:r>
    </w:p>
    <w:tbl>
      <w:tblPr>
        <w:tblW w:w="907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600"/>
        <w:gridCol w:w="2085"/>
        <w:gridCol w:w="5387"/>
      </w:tblGrid>
      <w:tr>
        <w:trPr>
          <w:trHeight w:val="315" w:hRule="atLeast"/>
        </w:trPr>
        <w:tc>
          <w:tcPr>
            <w:tcW w:w="1600" w:type="dxa"/>
            <w:tcBorders>
              <w:top w:val="single" w:sz="4" w:space="0" w:color="000000"/>
              <w:bottom w:val="single" w:sz="4" w:space="0" w:color="000000"/>
            </w:tcBorders>
            <w:shd w:color="auto" w:fill="auto" w:val="clear"/>
            <w:vAlign w:val="bottom"/>
          </w:tcPr>
          <w:p>
            <w:pPr>
              <w:pStyle w:val="Normal"/>
              <w:widowControl w:val="false"/>
              <w:spacing w:before="0" w:after="120"/>
              <w:rPr>
                <w:color w:val="000000"/>
              </w:rPr>
            </w:pPr>
            <w:r>
              <w:rPr>
                <w:color w:val="000000"/>
              </w:rPr>
              <w:t>Quarry code</w:t>
            </w:r>
          </w:p>
        </w:tc>
        <w:tc>
          <w:tcPr>
            <w:tcW w:w="2085" w:type="dxa"/>
            <w:tcBorders>
              <w:top w:val="single" w:sz="4" w:space="0" w:color="000000"/>
              <w:bottom w:val="single" w:sz="4" w:space="0" w:color="000000"/>
            </w:tcBorders>
          </w:tcPr>
          <w:p>
            <w:pPr>
              <w:pStyle w:val="Normal"/>
              <w:widowControl w:val="false"/>
              <w:spacing w:before="0" w:after="120"/>
              <w:rPr>
                <w:color w:val="000000"/>
              </w:rPr>
            </w:pPr>
            <w:r>
              <w:rPr>
                <w:color w:val="000000"/>
              </w:rPr>
              <w:t>Number of sample</w:t>
            </w:r>
          </w:p>
        </w:tc>
        <w:tc>
          <w:tcPr>
            <w:tcW w:w="5387" w:type="dxa"/>
            <w:tcBorders>
              <w:top w:val="single" w:sz="4" w:space="0" w:color="000000"/>
              <w:bottom w:val="single" w:sz="4" w:space="0" w:color="000000"/>
            </w:tcBorders>
            <w:shd w:color="auto" w:fill="auto" w:val="clear"/>
            <w:vAlign w:val="bottom"/>
          </w:tcPr>
          <w:p>
            <w:pPr>
              <w:pStyle w:val="Normal"/>
              <w:widowControl w:val="false"/>
              <w:spacing w:before="0" w:after="120"/>
              <w:rPr>
                <w:color w:val="000000"/>
              </w:rPr>
            </w:pPr>
            <w:r>
              <w:rPr>
                <w:color w:val="000000"/>
              </w:rPr>
              <w:t>Location</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PERQ1</w:t>
            </w:r>
          </w:p>
        </w:tc>
        <w:tc>
          <w:tcPr>
            <w:tcW w:w="2085" w:type="dxa"/>
            <w:tcBorders/>
          </w:tcPr>
          <w:p>
            <w:pPr>
              <w:pStyle w:val="Normal"/>
              <w:widowControl w:val="false"/>
              <w:spacing w:before="0" w:after="120"/>
              <w:rPr>
                <w:color w:val="000000"/>
              </w:rPr>
            </w:pPr>
            <w:r>
              <w:rPr>
                <w:color w:val="000000"/>
              </w:rPr>
              <w:t>10</w:t>
            </w:r>
          </w:p>
        </w:tc>
        <w:tc>
          <w:tcPr>
            <w:tcW w:w="5387" w:type="dxa"/>
            <w:tcBorders/>
            <w:shd w:color="auto" w:fill="auto" w:val="clear"/>
            <w:vAlign w:val="bottom"/>
          </w:tcPr>
          <w:p>
            <w:pPr>
              <w:pStyle w:val="Normal"/>
              <w:widowControl w:val="false"/>
              <w:spacing w:before="0" w:after="120"/>
              <w:rPr>
                <w:color w:val="000000"/>
              </w:rPr>
            </w:pPr>
            <w:r>
              <w:rPr>
                <w:color w:val="000000"/>
              </w:rPr>
              <w:t>Erzurum (Pasinler)</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PERQ2</w:t>
            </w:r>
          </w:p>
        </w:tc>
        <w:tc>
          <w:tcPr>
            <w:tcW w:w="2085" w:type="dxa"/>
            <w:tcBorders/>
          </w:tcPr>
          <w:p>
            <w:pPr>
              <w:pStyle w:val="Normal"/>
              <w:widowControl w:val="false"/>
              <w:spacing w:before="0" w:after="120"/>
              <w:rPr>
                <w:color w:val="000000"/>
              </w:rPr>
            </w:pPr>
            <w:r>
              <w:rPr>
                <w:color w:val="000000"/>
              </w:rPr>
              <w:t>10</w:t>
            </w:r>
          </w:p>
        </w:tc>
        <w:tc>
          <w:tcPr>
            <w:tcW w:w="5387" w:type="dxa"/>
            <w:tcBorders/>
            <w:shd w:color="auto" w:fill="auto" w:val="clear"/>
            <w:vAlign w:val="bottom"/>
          </w:tcPr>
          <w:p>
            <w:pPr>
              <w:pStyle w:val="Normal"/>
              <w:widowControl w:val="false"/>
              <w:spacing w:before="0" w:after="120"/>
              <w:rPr>
                <w:color w:val="000000"/>
              </w:rPr>
            </w:pPr>
            <w:r>
              <w:rPr>
                <w:color w:val="000000"/>
              </w:rPr>
              <w:t>Erzincan (Mollaköy)</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PERQ3</w:t>
            </w:r>
          </w:p>
        </w:tc>
        <w:tc>
          <w:tcPr>
            <w:tcW w:w="2085" w:type="dxa"/>
            <w:tcBorders/>
          </w:tcPr>
          <w:p>
            <w:pPr>
              <w:pStyle w:val="Normal"/>
              <w:widowControl w:val="false"/>
              <w:spacing w:before="0" w:after="120"/>
              <w:rPr>
                <w:color w:val="000000"/>
              </w:rPr>
            </w:pPr>
            <w:r>
              <w:rPr>
                <w:color w:val="000000"/>
              </w:rPr>
              <w:t>10</w:t>
            </w:r>
          </w:p>
        </w:tc>
        <w:tc>
          <w:tcPr>
            <w:tcW w:w="5387" w:type="dxa"/>
            <w:tcBorders/>
            <w:shd w:color="auto" w:fill="auto" w:val="clear"/>
            <w:vAlign w:val="bottom"/>
          </w:tcPr>
          <w:p>
            <w:pPr>
              <w:pStyle w:val="Normal"/>
              <w:widowControl w:val="false"/>
              <w:spacing w:before="0" w:after="120"/>
              <w:rPr>
                <w:color w:val="000000"/>
              </w:rPr>
            </w:pPr>
            <w:r>
              <w:rPr>
                <w:color w:val="000000"/>
              </w:rPr>
              <w:t>İzmir (Mezarkaya)</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PERQ4</w:t>
            </w:r>
          </w:p>
        </w:tc>
        <w:tc>
          <w:tcPr>
            <w:tcW w:w="2085" w:type="dxa"/>
            <w:tcBorders/>
          </w:tcPr>
          <w:p>
            <w:pPr>
              <w:pStyle w:val="Normal"/>
              <w:widowControl w:val="false"/>
              <w:spacing w:before="0" w:after="120"/>
              <w:rPr>
                <w:color w:val="000000"/>
              </w:rPr>
            </w:pPr>
            <w:r>
              <w:rPr>
                <w:color w:val="000000"/>
              </w:rPr>
              <w:t>10</w:t>
            </w:r>
          </w:p>
        </w:tc>
        <w:tc>
          <w:tcPr>
            <w:tcW w:w="5387" w:type="dxa"/>
            <w:tcBorders/>
            <w:shd w:color="auto" w:fill="auto" w:val="clear"/>
            <w:vAlign w:val="bottom"/>
          </w:tcPr>
          <w:p>
            <w:pPr>
              <w:pStyle w:val="Normal"/>
              <w:widowControl w:val="false"/>
              <w:spacing w:before="0" w:after="120"/>
              <w:rPr>
                <w:color w:val="000000"/>
              </w:rPr>
            </w:pPr>
            <w:r>
              <w:rPr>
                <w:color w:val="000000"/>
              </w:rPr>
              <w:t>Ankara (Çubuk)</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PERQ5</w:t>
            </w:r>
          </w:p>
        </w:tc>
        <w:tc>
          <w:tcPr>
            <w:tcW w:w="2085" w:type="dxa"/>
            <w:tcBorders/>
          </w:tcPr>
          <w:p>
            <w:pPr>
              <w:pStyle w:val="Normal"/>
              <w:widowControl w:val="false"/>
              <w:spacing w:before="0" w:after="120"/>
              <w:rPr>
                <w:color w:val="000000"/>
              </w:rPr>
            </w:pPr>
            <w:r>
              <w:rPr>
                <w:color w:val="000000"/>
              </w:rPr>
              <w:t>7</w:t>
            </w:r>
          </w:p>
        </w:tc>
        <w:tc>
          <w:tcPr>
            <w:tcW w:w="5387" w:type="dxa"/>
            <w:tcBorders/>
            <w:shd w:color="auto" w:fill="auto" w:val="clear"/>
            <w:vAlign w:val="bottom"/>
          </w:tcPr>
          <w:p>
            <w:pPr>
              <w:pStyle w:val="Normal"/>
              <w:widowControl w:val="false"/>
              <w:spacing w:before="0" w:after="120"/>
              <w:rPr>
                <w:color w:val="000000"/>
              </w:rPr>
            </w:pPr>
            <w:r>
              <w:rPr>
                <w:color w:val="000000"/>
              </w:rPr>
              <w:t>Nevşehir (karapınar)</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PERQ6</w:t>
            </w:r>
          </w:p>
        </w:tc>
        <w:tc>
          <w:tcPr>
            <w:tcW w:w="2085" w:type="dxa"/>
            <w:tcBorders/>
          </w:tcPr>
          <w:p>
            <w:pPr>
              <w:pStyle w:val="Normal"/>
              <w:widowControl w:val="false"/>
              <w:spacing w:before="0" w:after="120"/>
              <w:rPr>
                <w:color w:val="000000"/>
              </w:rPr>
            </w:pPr>
            <w:r>
              <w:rPr>
                <w:color w:val="000000"/>
              </w:rPr>
              <w:t>10</w:t>
            </w:r>
          </w:p>
        </w:tc>
        <w:tc>
          <w:tcPr>
            <w:tcW w:w="5387" w:type="dxa"/>
            <w:tcBorders/>
            <w:shd w:color="auto" w:fill="auto" w:val="clear"/>
            <w:vAlign w:val="bottom"/>
          </w:tcPr>
          <w:p>
            <w:pPr>
              <w:pStyle w:val="Normal"/>
              <w:widowControl w:val="false"/>
              <w:spacing w:before="0" w:after="120"/>
              <w:rPr>
                <w:color w:val="000000"/>
              </w:rPr>
            </w:pPr>
            <w:r>
              <w:rPr>
                <w:color w:val="000000"/>
              </w:rPr>
              <w:t>Nevşehir (Acıgöl)</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PERQ7</w:t>
            </w:r>
          </w:p>
        </w:tc>
        <w:tc>
          <w:tcPr>
            <w:tcW w:w="2085" w:type="dxa"/>
            <w:tcBorders/>
          </w:tcPr>
          <w:p>
            <w:pPr>
              <w:pStyle w:val="Normal"/>
              <w:widowControl w:val="false"/>
              <w:spacing w:before="0" w:after="120"/>
              <w:rPr>
                <w:color w:val="000000"/>
              </w:rPr>
            </w:pPr>
            <w:r>
              <w:rPr>
                <w:color w:val="000000"/>
              </w:rPr>
              <w:t>10</w:t>
            </w:r>
          </w:p>
        </w:tc>
        <w:tc>
          <w:tcPr>
            <w:tcW w:w="5387" w:type="dxa"/>
            <w:tcBorders/>
            <w:shd w:color="auto" w:fill="auto" w:val="clear"/>
            <w:vAlign w:val="bottom"/>
          </w:tcPr>
          <w:p>
            <w:pPr>
              <w:pStyle w:val="Normal"/>
              <w:widowControl w:val="false"/>
              <w:spacing w:before="0" w:after="120"/>
              <w:rPr>
                <w:color w:val="000000"/>
              </w:rPr>
            </w:pPr>
            <w:r>
              <w:rPr>
                <w:color w:val="000000"/>
              </w:rPr>
              <w:t>Nevşehir (Göllü Dağı)</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PERQ8</w:t>
            </w:r>
          </w:p>
        </w:tc>
        <w:tc>
          <w:tcPr>
            <w:tcW w:w="2085" w:type="dxa"/>
            <w:tcBorders/>
          </w:tcPr>
          <w:p>
            <w:pPr>
              <w:pStyle w:val="Normal"/>
              <w:widowControl w:val="false"/>
              <w:spacing w:before="0" w:after="120"/>
              <w:rPr>
                <w:color w:val="000000"/>
              </w:rPr>
            </w:pPr>
            <w:r>
              <w:rPr>
                <w:color w:val="000000"/>
              </w:rPr>
              <w:t>8</w:t>
            </w:r>
          </w:p>
        </w:tc>
        <w:tc>
          <w:tcPr>
            <w:tcW w:w="5387" w:type="dxa"/>
            <w:tcBorders/>
            <w:shd w:color="auto" w:fill="auto" w:val="clear"/>
            <w:vAlign w:val="bottom"/>
          </w:tcPr>
          <w:p>
            <w:pPr>
              <w:pStyle w:val="Normal"/>
              <w:widowControl w:val="false"/>
              <w:spacing w:before="0" w:after="120"/>
              <w:rPr>
                <w:color w:val="000000"/>
              </w:rPr>
            </w:pPr>
            <w:r>
              <w:rPr>
                <w:color w:val="000000"/>
              </w:rPr>
              <w:t>İzmir (Bergama, Koyuneli)</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PERQ9</w:t>
            </w:r>
          </w:p>
        </w:tc>
        <w:tc>
          <w:tcPr>
            <w:tcW w:w="2085" w:type="dxa"/>
            <w:tcBorders/>
          </w:tcPr>
          <w:p>
            <w:pPr>
              <w:pStyle w:val="Normal"/>
              <w:widowControl w:val="false"/>
              <w:spacing w:before="0" w:after="120"/>
              <w:rPr>
                <w:color w:val="000000"/>
              </w:rPr>
            </w:pPr>
            <w:r>
              <w:rPr>
                <w:color w:val="000000"/>
              </w:rPr>
              <w:t>15</w:t>
            </w:r>
          </w:p>
        </w:tc>
        <w:tc>
          <w:tcPr>
            <w:tcW w:w="5387" w:type="dxa"/>
            <w:tcBorders/>
            <w:shd w:color="auto" w:fill="auto" w:val="clear"/>
            <w:vAlign w:val="bottom"/>
          </w:tcPr>
          <w:p>
            <w:pPr>
              <w:pStyle w:val="Normal"/>
              <w:widowControl w:val="false"/>
              <w:spacing w:before="0" w:after="120"/>
              <w:rPr>
                <w:color w:val="000000"/>
              </w:rPr>
            </w:pPr>
            <w:r>
              <w:rPr>
                <w:color w:val="000000"/>
              </w:rPr>
              <w:t>İzmir (Bergama, Pınar köyü)</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PERQ10</w:t>
            </w:r>
          </w:p>
        </w:tc>
        <w:tc>
          <w:tcPr>
            <w:tcW w:w="2085" w:type="dxa"/>
            <w:tcBorders/>
          </w:tcPr>
          <w:p>
            <w:pPr>
              <w:pStyle w:val="Normal"/>
              <w:widowControl w:val="false"/>
              <w:spacing w:before="0" w:after="120"/>
              <w:rPr>
                <w:color w:val="000000"/>
              </w:rPr>
            </w:pPr>
            <w:r>
              <w:rPr>
                <w:color w:val="000000"/>
              </w:rPr>
              <w:t>10</w:t>
            </w:r>
          </w:p>
        </w:tc>
        <w:tc>
          <w:tcPr>
            <w:tcW w:w="5387" w:type="dxa"/>
            <w:tcBorders/>
            <w:shd w:color="auto" w:fill="auto" w:val="clear"/>
            <w:vAlign w:val="bottom"/>
          </w:tcPr>
          <w:p>
            <w:pPr>
              <w:pStyle w:val="Normal"/>
              <w:widowControl w:val="false"/>
              <w:spacing w:before="0" w:after="120"/>
              <w:rPr>
                <w:color w:val="000000"/>
              </w:rPr>
            </w:pPr>
            <w:r>
              <w:rPr>
                <w:color w:val="000000"/>
              </w:rPr>
              <w:t>Nevşehir (Nenezi Dağı)</w:t>
            </w:r>
          </w:p>
        </w:tc>
      </w:tr>
      <w:tr>
        <w:trPr>
          <w:trHeight w:val="315" w:hRule="atLeast"/>
        </w:trPr>
        <w:tc>
          <w:tcPr>
            <w:tcW w:w="1600" w:type="dxa"/>
            <w:tcBorders/>
            <w:shd w:color="auto" w:fill="auto" w:val="clear"/>
            <w:vAlign w:val="bottom"/>
          </w:tcPr>
          <w:p>
            <w:pPr>
              <w:pStyle w:val="Normal"/>
              <w:widowControl w:val="false"/>
              <w:spacing w:before="0" w:after="120"/>
              <w:rPr>
                <w:color w:val="000000"/>
              </w:rPr>
            </w:pPr>
            <w:r>
              <w:rPr>
                <w:color w:val="000000"/>
              </w:rPr>
              <w:t>PERQ11</w:t>
            </w:r>
          </w:p>
        </w:tc>
        <w:tc>
          <w:tcPr>
            <w:tcW w:w="2085" w:type="dxa"/>
            <w:tcBorders/>
          </w:tcPr>
          <w:p>
            <w:pPr>
              <w:pStyle w:val="Normal"/>
              <w:widowControl w:val="false"/>
              <w:spacing w:before="0" w:after="120"/>
              <w:rPr>
                <w:color w:val="000000"/>
              </w:rPr>
            </w:pPr>
            <w:r>
              <w:rPr>
                <w:color w:val="000000"/>
              </w:rPr>
              <w:t>10</w:t>
            </w:r>
          </w:p>
        </w:tc>
        <w:tc>
          <w:tcPr>
            <w:tcW w:w="5387" w:type="dxa"/>
            <w:tcBorders/>
            <w:shd w:color="auto" w:fill="auto" w:val="clear"/>
            <w:vAlign w:val="bottom"/>
          </w:tcPr>
          <w:p>
            <w:pPr>
              <w:pStyle w:val="Normal"/>
              <w:widowControl w:val="false"/>
              <w:spacing w:before="0" w:after="120"/>
              <w:rPr>
                <w:color w:val="000000"/>
              </w:rPr>
            </w:pPr>
            <w:r>
              <w:rPr>
                <w:color w:val="000000"/>
              </w:rPr>
              <w:t>İzmir (Bergama, Örlemiş)</w:t>
            </w:r>
          </w:p>
        </w:tc>
      </w:tr>
      <w:tr>
        <w:trPr>
          <w:trHeight w:val="315" w:hRule="atLeast"/>
        </w:trPr>
        <w:tc>
          <w:tcPr>
            <w:tcW w:w="1600"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PERQ12</w:t>
            </w:r>
          </w:p>
        </w:tc>
        <w:tc>
          <w:tcPr>
            <w:tcW w:w="2085" w:type="dxa"/>
            <w:tcBorders>
              <w:bottom w:val="single" w:sz="4" w:space="0" w:color="000000"/>
            </w:tcBorders>
          </w:tcPr>
          <w:p>
            <w:pPr>
              <w:pStyle w:val="Normal"/>
              <w:widowControl w:val="false"/>
              <w:spacing w:before="0" w:after="120"/>
              <w:rPr>
                <w:color w:val="000000"/>
              </w:rPr>
            </w:pPr>
            <w:r>
              <w:rPr>
                <w:color w:val="000000"/>
              </w:rPr>
              <w:t>16</w:t>
            </w:r>
          </w:p>
        </w:tc>
        <w:tc>
          <w:tcPr>
            <w:tcW w:w="5387"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İzmir (Bergama)</w:t>
            </w:r>
          </w:p>
        </w:tc>
      </w:tr>
    </w:tbl>
    <w:p>
      <w:pPr>
        <w:pStyle w:val="Normal"/>
        <w:jc w:val="both"/>
        <w:rPr/>
      </w:pPr>
      <w:r>
        <w:rPr/>
      </w:r>
    </w:p>
    <w:p>
      <w:pPr>
        <w:pStyle w:val="Normal"/>
        <w:spacing w:lineRule="auto" w:line="480"/>
        <w:jc w:val="both"/>
        <w:rPr>
          <w:b/>
          <w:b/>
          <w:color w:val="000000"/>
          <w:lang w:val="en-GB"/>
        </w:rPr>
      </w:pPr>
      <w:r>
        <w:rPr>
          <w:b/>
        </w:rPr>
        <w:t>2.2. A</w:t>
      </w:r>
      <w:r>
        <w:rPr>
          <w:b/>
          <w:color w:val="000000"/>
          <w:lang w:val="en-GB"/>
        </w:rPr>
        <w:t xml:space="preserve">nalysis technique </w:t>
      </w:r>
    </w:p>
    <w:p>
      <w:pPr>
        <w:pStyle w:val="Normal"/>
        <w:spacing w:lineRule="auto" w:line="480"/>
        <w:jc w:val="both"/>
        <w:rPr>
          <w:shd w:fill="FFFFFF" w:val="clear"/>
        </w:rPr>
      </w:pPr>
      <w:r>
        <w:rPr>
          <w:color w:val="000000"/>
          <w:lang w:val="en-GB"/>
        </w:rPr>
        <w:t xml:space="preserve">Elemental analysis of perlite samples was performed by an EDXRF spectrometer (Spectro Xepos, Ametek) with a thick binary Pd/Co alloy anode X-ray tube (50 kV, 60 W), </w:t>
      </w:r>
      <w:r>
        <w:rPr>
          <w:bCs/>
        </w:rPr>
        <w:t xml:space="preserve">in the Central Research Laboratory of Kastamonu University. </w:t>
      </w:r>
      <w:r>
        <w:rPr>
          <w:lang w:val="en-GB"/>
        </w:rPr>
        <w:t>The EDXRF spectrometer was equipped with a thick binary Pd/Co end-window tube (50 W, 60 kV) and a Peltier-cooled Si drift detector</w:t>
      </w:r>
      <w:r>
        <w:rPr>
          <w:bCs/>
        </w:rPr>
        <w:t xml:space="preserve">. </w:t>
      </w:r>
      <w:r>
        <w:rPr>
          <w:lang w:val="en-GB"/>
        </w:rPr>
        <w:t>The EDXRF spectrometer uses the “standardless” calibration based on the Fundamental Parameters method. (</w:t>
      </w:r>
      <w:r>
        <w:rPr>
          <w:color w:val="000000"/>
          <w:lang w:val="en-GB"/>
        </w:rPr>
        <w:t xml:space="preserve">Turhan et al. 2020; Turhan et al. 2022; Altıkulaç et al. 2022). </w:t>
      </w:r>
      <w:r>
        <w:rPr/>
        <w:t xml:space="preserve">NIST SRM 2709 reference material was utilized for quality assurance of the EDXRF spectrometer </w:t>
      </w:r>
      <w:r>
        <w:rPr>
          <w:color w:val="000000"/>
          <w:lang w:val="en-GB"/>
        </w:rPr>
        <w:t xml:space="preserve">(Turhan et al. 2020). </w:t>
      </w:r>
      <w:r>
        <w:rPr>
          <w:shd w:fill="FFFFFF" w:val="clear"/>
        </w:rPr>
        <w:t xml:space="preserve">Perlite samples were placed in the automatic sampler and counted once for two hours, and the analysis processes were completed. </w:t>
      </w:r>
    </w:p>
    <w:p>
      <w:pPr>
        <w:pStyle w:val="Normal"/>
        <w:spacing w:lineRule="auto" w:line="480"/>
        <w:jc w:val="both"/>
        <w:rPr>
          <w:b/>
          <w:b/>
          <w:lang w:val="en-GB"/>
        </w:rPr>
      </w:pPr>
      <w:r>
        <w:rPr>
          <w:b/>
          <w:lang w:val="en-GB"/>
        </w:rPr>
        <w:t>3. RESULTS AND DISCUSSION</w:t>
      </w:r>
    </w:p>
    <w:p>
      <w:pPr>
        <w:pStyle w:val="Normal"/>
        <w:spacing w:lineRule="auto" w:line="480"/>
        <w:jc w:val="both"/>
        <w:rPr>
          <w:b/>
          <w:b/>
          <w:lang w:val="en-GB"/>
        </w:rPr>
      </w:pPr>
      <w:r>
        <w:rPr>
          <w:b/>
          <w:lang w:val="en-GB"/>
        </w:rPr>
        <w:t>3.1. Major and minor oxides of perlite samples</w:t>
      </w:r>
    </w:p>
    <w:p>
      <w:pPr>
        <w:pStyle w:val="Normal"/>
        <w:spacing w:lineRule="auto" w:line="480"/>
        <w:jc w:val="both"/>
        <w:rPr>
          <w:color w:val="008000"/>
          <w:lang w:val="en-GB"/>
        </w:rPr>
      </w:pPr>
      <w:r>
        <w:rPr>
          <w:bCs/>
        </w:rPr>
        <w:t xml:space="preserve">Some descriptive statistical data such as average, standard error (SE), standard deviation (SD), median, etc. on the concentrations of oxides analyzed in all perlite samples are presented in Table 4. </w:t>
      </w:r>
      <w:r>
        <w:rPr/>
        <w:t xml:space="preserve">A comparison of average concentrations of major and minor oxides analyzed in Turkish perlites with Earth’s continental crust is shown in Fig. 1. </w:t>
      </w:r>
      <w:r>
        <w:rPr>
          <w:bCs/>
        </w:rPr>
        <w:t xml:space="preserve">The average and range (min-max) values of oxides analyzed in perlite quarries are given in Table 5. </w:t>
      </w:r>
    </w:p>
    <w:p>
      <w:pPr>
        <w:pStyle w:val="Heading2"/>
        <w:spacing w:before="0" w:after="240"/>
        <w:jc w:val="left"/>
        <w:rPr>
          <w:shd w:fill="FFFFFF" w:val="clear"/>
        </w:rPr>
      </w:pPr>
      <w:r>
        <w:rPr>
          <w:shd w:fill="FFFFFF" w:val="clear"/>
        </w:rPr>
        <w:t xml:space="preserve">Table 4. </w:t>
      </w:r>
      <w:r>
        <w:rPr>
          <w:b w:val="false"/>
          <w:lang w:val="en-GB"/>
        </w:rPr>
        <w:t xml:space="preserve">Some descriptive statistical data on the concentrations of oxides </w:t>
      </w:r>
    </w:p>
    <w:tbl>
      <w:tblPr>
        <w:tblW w:w="936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100"/>
        <w:gridCol w:w="811"/>
        <w:gridCol w:w="813"/>
        <w:gridCol w:w="861"/>
        <w:gridCol w:w="862"/>
        <w:gridCol w:w="812"/>
        <w:gridCol w:w="813"/>
        <w:gridCol w:w="811"/>
        <w:gridCol w:w="812"/>
        <w:gridCol w:w="814"/>
        <w:gridCol w:w="851"/>
      </w:tblGrid>
      <w:tr>
        <w:trPr>
          <w:trHeight w:val="315" w:hRule="atLeast"/>
        </w:trPr>
        <w:tc>
          <w:tcPr>
            <w:tcW w:w="1100" w:type="dxa"/>
            <w:vMerge w:val="restart"/>
            <w:tcBorders>
              <w:top w:val="single" w:sz="4" w:space="0" w:color="000000"/>
              <w:bottom w:val="single" w:sz="4" w:space="0" w:color="000000"/>
            </w:tcBorders>
            <w:shd w:color="auto" w:fill="auto" w:val="clear"/>
            <w:vAlign w:val="bottom"/>
          </w:tcPr>
          <w:p>
            <w:pPr>
              <w:pStyle w:val="Normal"/>
              <w:widowControl w:val="false"/>
              <w:spacing w:before="0" w:after="120"/>
              <w:jc w:val="center"/>
              <w:rPr>
                <w:i/>
                <w:i/>
                <w:iCs/>
                <w:color w:val="000000"/>
              </w:rPr>
            </w:pPr>
            <w:r>
              <w:rPr/>
            </w:r>
          </w:p>
        </w:tc>
        <w:tc>
          <w:tcPr>
            <w:tcW w:w="8260" w:type="dxa"/>
            <w:gridSpan w:val="10"/>
            <w:tcBorders>
              <w:top w:val="single" w:sz="4" w:space="0" w:color="000000"/>
              <w:bottom w:val="single" w:sz="4" w:space="0" w:color="000000"/>
            </w:tcBorders>
            <w:shd w:color="auto" w:fill="auto" w:val="clear"/>
            <w:vAlign w:val="bottom"/>
          </w:tcPr>
          <w:p>
            <w:pPr>
              <w:pStyle w:val="Normal"/>
              <w:widowControl w:val="false"/>
              <w:spacing w:before="0" w:after="120"/>
              <w:jc w:val="center"/>
              <w:rPr>
                <w:color w:val="000000"/>
              </w:rPr>
            </w:pPr>
            <w:r>
              <w:rPr>
                <w:color w:val="000000"/>
              </w:rPr>
              <w:t>Concentration of oxides in perlite samples</w:t>
            </w:r>
          </w:p>
        </w:tc>
      </w:tr>
      <w:tr>
        <w:trPr>
          <w:trHeight w:val="315" w:hRule="atLeast"/>
        </w:trPr>
        <w:tc>
          <w:tcPr>
            <w:tcW w:w="1100" w:type="dxa"/>
            <w:vMerge w:val="continue"/>
            <w:tcBorders>
              <w:top w:val="single" w:sz="4" w:space="0" w:color="000000"/>
              <w:bottom w:val="single" w:sz="4" w:space="0" w:color="000000"/>
            </w:tcBorders>
            <w:vAlign w:val="center"/>
          </w:tcPr>
          <w:p>
            <w:pPr>
              <w:pStyle w:val="Normal"/>
              <w:widowControl w:val="false"/>
              <w:spacing w:before="0" w:after="120"/>
              <w:rPr>
                <w:i/>
                <w:i/>
                <w:iCs/>
                <w:color w:val="000000"/>
              </w:rPr>
            </w:pPr>
            <w:r>
              <w:rPr>
                <w:i/>
                <w:iCs/>
                <w:color w:val="000000"/>
              </w:rPr>
            </w:r>
          </w:p>
        </w:tc>
        <w:tc>
          <w:tcPr>
            <w:tcW w:w="811" w:type="dxa"/>
            <w:tcBorders>
              <w:bottom w:val="single" w:sz="4" w:space="0" w:color="000000"/>
            </w:tcBorders>
            <w:shd w:color="auto" w:fill="auto" w:val="clear"/>
            <w:vAlign w:val="center"/>
          </w:tcPr>
          <w:p>
            <w:pPr>
              <w:pStyle w:val="Normal"/>
              <w:widowControl w:val="false"/>
              <w:spacing w:before="0" w:after="120"/>
              <w:jc w:val="center"/>
              <w:rPr>
                <w:color w:val="000000"/>
              </w:rPr>
            </w:pPr>
            <w:r>
              <w:rPr>
                <w:color w:val="000000"/>
              </w:rPr>
              <w:t>Na</w:t>
            </w:r>
            <w:r>
              <w:rPr>
                <w:color w:val="000000"/>
                <w:vertAlign w:val="subscript"/>
              </w:rPr>
              <w:t>2</w:t>
            </w:r>
            <w:r>
              <w:rPr>
                <w:color w:val="000000"/>
              </w:rPr>
              <w:t>O</w:t>
            </w:r>
          </w:p>
        </w:tc>
        <w:tc>
          <w:tcPr>
            <w:tcW w:w="813" w:type="dxa"/>
            <w:tcBorders>
              <w:bottom w:val="single" w:sz="4" w:space="0" w:color="000000"/>
            </w:tcBorders>
            <w:shd w:color="auto" w:fill="auto" w:val="clear"/>
            <w:vAlign w:val="center"/>
          </w:tcPr>
          <w:p>
            <w:pPr>
              <w:pStyle w:val="Normal"/>
              <w:widowControl w:val="false"/>
              <w:spacing w:before="0" w:after="120"/>
              <w:jc w:val="center"/>
              <w:rPr>
                <w:color w:val="000000"/>
              </w:rPr>
            </w:pPr>
            <w:r>
              <w:rPr>
                <w:color w:val="000000"/>
              </w:rPr>
              <w:t>MgO</w:t>
            </w:r>
          </w:p>
        </w:tc>
        <w:tc>
          <w:tcPr>
            <w:tcW w:w="861" w:type="dxa"/>
            <w:tcBorders>
              <w:bottom w:val="single" w:sz="4" w:space="0" w:color="000000"/>
            </w:tcBorders>
            <w:shd w:color="auto" w:fill="auto" w:val="clear"/>
            <w:vAlign w:val="center"/>
          </w:tcPr>
          <w:p>
            <w:pPr>
              <w:pStyle w:val="Normal"/>
              <w:widowControl w:val="false"/>
              <w:spacing w:before="0" w:after="120"/>
              <w:jc w:val="center"/>
              <w:rPr>
                <w:color w:val="000000"/>
              </w:rPr>
            </w:pPr>
            <w:r>
              <w:rPr>
                <w:color w:val="000000"/>
              </w:rPr>
              <w:t>Al</w:t>
            </w:r>
            <w:r>
              <w:rPr>
                <w:color w:val="000000"/>
                <w:vertAlign w:val="subscript"/>
              </w:rPr>
              <w:t>2</w:t>
            </w:r>
            <w:r>
              <w:rPr>
                <w:color w:val="000000"/>
              </w:rPr>
              <w:t>O</w:t>
            </w:r>
            <w:r>
              <w:rPr>
                <w:color w:val="000000"/>
                <w:vertAlign w:val="subscript"/>
              </w:rPr>
              <w:t>3</w:t>
            </w:r>
          </w:p>
        </w:tc>
        <w:tc>
          <w:tcPr>
            <w:tcW w:w="862" w:type="dxa"/>
            <w:tcBorders>
              <w:bottom w:val="single" w:sz="4" w:space="0" w:color="000000"/>
            </w:tcBorders>
            <w:shd w:color="auto" w:fill="auto" w:val="clear"/>
            <w:vAlign w:val="center"/>
          </w:tcPr>
          <w:p>
            <w:pPr>
              <w:pStyle w:val="Normal"/>
              <w:widowControl w:val="false"/>
              <w:spacing w:before="0" w:after="120"/>
              <w:jc w:val="center"/>
              <w:rPr>
                <w:color w:val="000000"/>
              </w:rPr>
            </w:pPr>
            <w:r>
              <w:rPr>
                <w:color w:val="000000"/>
              </w:rPr>
              <w:t>SiO</w:t>
            </w:r>
            <w:r>
              <w:rPr>
                <w:color w:val="000000"/>
                <w:vertAlign w:val="subscript"/>
              </w:rPr>
              <w:t>2</w:t>
            </w:r>
          </w:p>
        </w:tc>
        <w:tc>
          <w:tcPr>
            <w:tcW w:w="812" w:type="dxa"/>
            <w:tcBorders>
              <w:bottom w:val="single" w:sz="4" w:space="0" w:color="000000"/>
            </w:tcBorders>
            <w:shd w:color="auto" w:fill="auto" w:val="clear"/>
            <w:vAlign w:val="center"/>
          </w:tcPr>
          <w:p>
            <w:pPr>
              <w:pStyle w:val="Normal"/>
              <w:widowControl w:val="false"/>
              <w:spacing w:before="0" w:after="120"/>
              <w:jc w:val="center"/>
              <w:rPr>
                <w:color w:val="000000"/>
              </w:rPr>
            </w:pPr>
            <w:r>
              <w:rPr>
                <w:color w:val="000000"/>
              </w:rPr>
              <w:t>P</w:t>
            </w:r>
            <w:r>
              <w:rPr>
                <w:color w:val="000000"/>
                <w:vertAlign w:val="subscript"/>
              </w:rPr>
              <w:t>2</w:t>
            </w:r>
            <w:r>
              <w:rPr>
                <w:color w:val="000000"/>
              </w:rPr>
              <w:t>O</w:t>
            </w:r>
            <w:r>
              <w:rPr>
                <w:color w:val="000000"/>
                <w:vertAlign w:val="subscript"/>
              </w:rPr>
              <w:t>5</w:t>
            </w:r>
          </w:p>
        </w:tc>
        <w:tc>
          <w:tcPr>
            <w:tcW w:w="813" w:type="dxa"/>
            <w:tcBorders>
              <w:bottom w:val="single" w:sz="4" w:space="0" w:color="000000"/>
            </w:tcBorders>
            <w:shd w:color="auto" w:fill="auto" w:val="clear"/>
            <w:vAlign w:val="center"/>
          </w:tcPr>
          <w:p>
            <w:pPr>
              <w:pStyle w:val="Normal"/>
              <w:widowControl w:val="false"/>
              <w:spacing w:before="0" w:after="120"/>
              <w:jc w:val="center"/>
              <w:rPr>
                <w:color w:val="000000"/>
              </w:rPr>
            </w:pPr>
            <w:r>
              <w:rPr>
                <w:color w:val="000000"/>
              </w:rPr>
              <w:t>K</w:t>
            </w:r>
            <w:r>
              <w:rPr>
                <w:color w:val="000000"/>
                <w:vertAlign w:val="subscript"/>
              </w:rPr>
              <w:t>2</w:t>
            </w:r>
            <w:r>
              <w:rPr>
                <w:color w:val="000000"/>
              </w:rPr>
              <w:t>O</w:t>
            </w:r>
          </w:p>
        </w:tc>
        <w:tc>
          <w:tcPr>
            <w:tcW w:w="811" w:type="dxa"/>
            <w:tcBorders>
              <w:bottom w:val="single" w:sz="4" w:space="0" w:color="000000"/>
            </w:tcBorders>
            <w:shd w:color="auto" w:fill="auto" w:val="clear"/>
            <w:vAlign w:val="center"/>
          </w:tcPr>
          <w:p>
            <w:pPr>
              <w:pStyle w:val="Normal"/>
              <w:widowControl w:val="false"/>
              <w:spacing w:before="0" w:after="120"/>
              <w:jc w:val="center"/>
              <w:rPr>
                <w:color w:val="000000"/>
              </w:rPr>
            </w:pPr>
            <w:r>
              <w:rPr>
                <w:color w:val="000000"/>
              </w:rPr>
              <w:t>CaO</w:t>
            </w:r>
          </w:p>
        </w:tc>
        <w:tc>
          <w:tcPr>
            <w:tcW w:w="812" w:type="dxa"/>
            <w:tcBorders>
              <w:bottom w:val="single" w:sz="4" w:space="0" w:color="000000"/>
            </w:tcBorders>
            <w:shd w:color="auto" w:fill="auto" w:val="clear"/>
            <w:vAlign w:val="center"/>
          </w:tcPr>
          <w:p>
            <w:pPr>
              <w:pStyle w:val="Normal"/>
              <w:widowControl w:val="false"/>
              <w:spacing w:before="0" w:after="120"/>
              <w:jc w:val="center"/>
              <w:rPr>
                <w:color w:val="000000"/>
              </w:rPr>
            </w:pPr>
            <w:r>
              <w:rPr>
                <w:color w:val="000000"/>
              </w:rPr>
              <w:t>TiO</w:t>
            </w:r>
            <w:r>
              <w:rPr>
                <w:color w:val="000000"/>
                <w:vertAlign w:val="subscript"/>
              </w:rPr>
              <w:t>2</w:t>
            </w:r>
          </w:p>
        </w:tc>
        <w:tc>
          <w:tcPr>
            <w:tcW w:w="814" w:type="dxa"/>
            <w:tcBorders>
              <w:bottom w:val="single" w:sz="4" w:space="0" w:color="000000"/>
            </w:tcBorders>
            <w:shd w:color="auto" w:fill="auto" w:val="clear"/>
            <w:vAlign w:val="center"/>
          </w:tcPr>
          <w:p>
            <w:pPr>
              <w:pStyle w:val="Normal"/>
              <w:widowControl w:val="false"/>
              <w:spacing w:before="0" w:after="120"/>
              <w:jc w:val="center"/>
              <w:rPr>
                <w:color w:val="000000"/>
              </w:rPr>
            </w:pPr>
            <w:r>
              <w:rPr>
                <w:color w:val="000000"/>
              </w:rPr>
              <w:t>MnO</w:t>
            </w:r>
          </w:p>
        </w:tc>
        <w:tc>
          <w:tcPr>
            <w:tcW w:w="851" w:type="dxa"/>
            <w:tcBorders>
              <w:bottom w:val="single" w:sz="4" w:space="0" w:color="000000"/>
            </w:tcBorders>
            <w:shd w:color="auto" w:fill="auto" w:val="clear"/>
            <w:vAlign w:val="center"/>
          </w:tcPr>
          <w:p>
            <w:pPr>
              <w:pStyle w:val="Normal"/>
              <w:widowControl w:val="false"/>
              <w:spacing w:before="0" w:after="120"/>
              <w:jc w:val="center"/>
              <w:rPr>
                <w:color w:val="000000"/>
              </w:rPr>
            </w:pPr>
            <w:r>
              <w:rPr>
                <w:color w:val="000000"/>
              </w:rPr>
              <w:t>Fe</w:t>
            </w:r>
            <w:r>
              <w:rPr>
                <w:color w:val="000000"/>
                <w:vertAlign w:val="subscript"/>
              </w:rPr>
              <w:t>2</w:t>
            </w:r>
            <w:r>
              <w:rPr>
                <w:color w:val="000000"/>
              </w:rPr>
              <w:t>O</w:t>
            </w:r>
            <w:r>
              <w:rPr>
                <w:color w:val="000000"/>
                <w:vertAlign w:val="subscript"/>
              </w:rPr>
              <w:t>3</w:t>
            </w:r>
          </w:p>
        </w:tc>
      </w:tr>
      <w:tr>
        <w:trPr>
          <w:trHeight w:val="315" w:hRule="atLeast"/>
        </w:trPr>
        <w:tc>
          <w:tcPr>
            <w:tcW w:w="1100" w:type="dxa"/>
            <w:tcBorders/>
            <w:shd w:color="auto" w:fill="auto" w:val="clear"/>
            <w:vAlign w:val="bottom"/>
          </w:tcPr>
          <w:p>
            <w:pPr>
              <w:pStyle w:val="Normal"/>
              <w:widowControl w:val="false"/>
              <w:spacing w:before="0" w:after="120"/>
              <w:rPr>
                <w:color w:val="000000"/>
              </w:rPr>
            </w:pPr>
            <w:r>
              <w:rPr>
                <w:color w:val="000000"/>
              </w:rPr>
              <w:t>Average</w:t>
            </w:r>
          </w:p>
        </w:tc>
        <w:tc>
          <w:tcPr>
            <w:tcW w:w="811" w:type="dxa"/>
            <w:tcBorders/>
            <w:shd w:color="auto" w:fill="auto" w:val="clear"/>
            <w:vAlign w:val="bottom"/>
          </w:tcPr>
          <w:p>
            <w:pPr>
              <w:pStyle w:val="Normal"/>
              <w:widowControl w:val="false"/>
              <w:spacing w:before="0" w:after="120"/>
              <w:jc w:val="center"/>
              <w:rPr>
                <w:color w:val="000000"/>
              </w:rPr>
            </w:pPr>
            <w:r>
              <w:rPr>
                <w:color w:val="000000"/>
              </w:rPr>
              <w:t>5.941</w:t>
            </w:r>
          </w:p>
        </w:tc>
        <w:tc>
          <w:tcPr>
            <w:tcW w:w="813" w:type="dxa"/>
            <w:tcBorders/>
            <w:shd w:color="auto" w:fill="auto" w:val="clear"/>
            <w:vAlign w:val="bottom"/>
          </w:tcPr>
          <w:p>
            <w:pPr>
              <w:pStyle w:val="Normal"/>
              <w:widowControl w:val="false"/>
              <w:spacing w:before="0" w:after="120"/>
              <w:rPr>
                <w:color w:val="000000"/>
              </w:rPr>
            </w:pPr>
            <w:r>
              <w:rPr>
                <w:color w:val="000000"/>
              </w:rPr>
              <w:t>0.557</w:t>
            </w:r>
          </w:p>
        </w:tc>
        <w:tc>
          <w:tcPr>
            <w:tcW w:w="861" w:type="dxa"/>
            <w:tcBorders/>
            <w:shd w:color="auto" w:fill="auto" w:val="clear"/>
            <w:vAlign w:val="bottom"/>
          </w:tcPr>
          <w:p>
            <w:pPr>
              <w:pStyle w:val="Normal"/>
              <w:widowControl w:val="false"/>
              <w:spacing w:before="0" w:after="120"/>
              <w:rPr>
                <w:color w:val="000000"/>
              </w:rPr>
            </w:pPr>
            <w:r>
              <w:rPr>
                <w:color w:val="000000"/>
              </w:rPr>
              <w:t>15.653</w:t>
            </w:r>
          </w:p>
        </w:tc>
        <w:tc>
          <w:tcPr>
            <w:tcW w:w="862" w:type="dxa"/>
            <w:tcBorders/>
            <w:shd w:color="auto" w:fill="auto" w:val="clear"/>
            <w:vAlign w:val="bottom"/>
          </w:tcPr>
          <w:p>
            <w:pPr>
              <w:pStyle w:val="Normal"/>
              <w:widowControl w:val="false"/>
              <w:spacing w:before="0" w:after="120"/>
              <w:rPr>
                <w:color w:val="000000"/>
              </w:rPr>
            </w:pPr>
            <w:r>
              <w:rPr>
                <w:color w:val="000000"/>
              </w:rPr>
              <w:t>75.184</w:t>
            </w:r>
          </w:p>
        </w:tc>
        <w:tc>
          <w:tcPr>
            <w:tcW w:w="812" w:type="dxa"/>
            <w:tcBorders/>
            <w:shd w:color="auto" w:fill="auto" w:val="clear"/>
            <w:vAlign w:val="bottom"/>
          </w:tcPr>
          <w:p>
            <w:pPr>
              <w:pStyle w:val="Normal"/>
              <w:widowControl w:val="false"/>
              <w:spacing w:before="0" w:after="120"/>
              <w:rPr>
                <w:color w:val="000000"/>
              </w:rPr>
            </w:pPr>
            <w:r>
              <w:rPr>
                <w:color w:val="000000"/>
              </w:rPr>
              <w:t>0.024</w:t>
            </w:r>
          </w:p>
        </w:tc>
        <w:tc>
          <w:tcPr>
            <w:tcW w:w="813" w:type="dxa"/>
            <w:tcBorders/>
            <w:shd w:color="auto" w:fill="auto" w:val="clear"/>
            <w:vAlign w:val="bottom"/>
          </w:tcPr>
          <w:p>
            <w:pPr>
              <w:pStyle w:val="Normal"/>
              <w:widowControl w:val="false"/>
              <w:spacing w:before="0" w:after="120"/>
              <w:rPr>
                <w:color w:val="000000"/>
              </w:rPr>
            </w:pPr>
            <w:r>
              <w:rPr>
                <w:color w:val="000000"/>
              </w:rPr>
              <w:t>3.487</w:t>
            </w:r>
          </w:p>
        </w:tc>
        <w:tc>
          <w:tcPr>
            <w:tcW w:w="811" w:type="dxa"/>
            <w:tcBorders/>
            <w:shd w:color="auto" w:fill="auto" w:val="clear"/>
            <w:vAlign w:val="bottom"/>
          </w:tcPr>
          <w:p>
            <w:pPr>
              <w:pStyle w:val="Normal"/>
              <w:widowControl w:val="false"/>
              <w:spacing w:before="0" w:after="120"/>
              <w:rPr>
                <w:color w:val="000000"/>
              </w:rPr>
            </w:pPr>
            <w:r>
              <w:rPr>
                <w:color w:val="000000"/>
              </w:rPr>
              <w:t>0.710</w:t>
            </w:r>
          </w:p>
        </w:tc>
        <w:tc>
          <w:tcPr>
            <w:tcW w:w="812" w:type="dxa"/>
            <w:tcBorders/>
            <w:shd w:color="auto" w:fill="auto" w:val="clear"/>
            <w:vAlign w:val="bottom"/>
          </w:tcPr>
          <w:p>
            <w:pPr>
              <w:pStyle w:val="Normal"/>
              <w:widowControl w:val="false"/>
              <w:spacing w:before="0" w:after="120"/>
              <w:rPr>
                <w:color w:val="000000"/>
              </w:rPr>
            </w:pPr>
            <w:r>
              <w:rPr>
                <w:color w:val="000000"/>
              </w:rPr>
              <w:t>0.087</w:t>
            </w:r>
          </w:p>
        </w:tc>
        <w:tc>
          <w:tcPr>
            <w:tcW w:w="814" w:type="dxa"/>
            <w:tcBorders/>
            <w:shd w:color="auto" w:fill="auto" w:val="clear"/>
            <w:vAlign w:val="bottom"/>
          </w:tcPr>
          <w:p>
            <w:pPr>
              <w:pStyle w:val="Normal"/>
              <w:widowControl w:val="false"/>
              <w:spacing w:before="0" w:after="120"/>
              <w:rPr>
                <w:color w:val="000000"/>
              </w:rPr>
            </w:pPr>
            <w:r>
              <w:rPr>
                <w:color w:val="000000"/>
              </w:rPr>
              <w:t>0.049</w:t>
            </w:r>
          </w:p>
        </w:tc>
        <w:tc>
          <w:tcPr>
            <w:tcW w:w="851" w:type="dxa"/>
            <w:tcBorders/>
            <w:shd w:color="auto" w:fill="auto" w:val="clear"/>
            <w:vAlign w:val="bottom"/>
          </w:tcPr>
          <w:p>
            <w:pPr>
              <w:pStyle w:val="Normal"/>
              <w:widowControl w:val="false"/>
              <w:spacing w:before="0" w:after="120"/>
              <w:rPr>
                <w:color w:val="000000"/>
              </w:rPr>
            </w:pPr>
            <w:r>
              <w:rPr>
                <w:color w:val="000000"/>
              </w:rPr>
              <w:t>0.937</w:t>
            </w:r>
          </w:p>
        </w:tc>
      </w:tr>
      <w:tr>
        <w:trPr>
          <w:trHeight w:val="315" w:hRule="atLeast"/>
        </w:trPr>
        <w:tc>
          <w:tcPr>
            <w:tcW w:w="1100" w:type="dxa"/>
            <w:tcBorders/>
            <w:shd w:color="auto" w:fill="auto" w:val="clear"/>
            <w:vAlign w:val="bottom"/>
          </w:tcPr>
          <w:p>
            <w:pPr>
              <w:pStyle w:val="Normal"/>
              <w:widowControl w:val="false"/>
              <w:spacing w:before="0" w:after="120"/>
              <w:rPr>
                <w:color w:val="000000"/>
              </w:rPr>
            </w:pPr>
            <w:r>
              <w:rPr>
                <w:color w:val="000000"/>
              </w:rPr>
              <w:t>SE</w:t>
            </w:r>
          </w:p>
        </w:tc>
        <w:tc>
          <w:tcPr>
            <w:tcW w:w="811" w:type="dxa"/>
            <w:tcBorders/>
            <w:shd w:color="auto" w:fill="auto" w:val="clear"/>
            <w:vAlign w:val="bottom"/>
          </w:tcPr>
          <w:p>
            <w:pPr>
              <w:pStyle w:val="Normal"/>
              <w:widowControl w:val="false"/>
              <w:spacing w:before="0" w:after="120"/>
              <w:jc w:val="center"/>
              <w:rPr>
                <w:color w:val="000000"/>
              </w:rPr>
            </w:pPr>
            <w:r>
              <w:rPr>
                <w:color w:val="000000"/>
              </w:rPr>
              <w:t>0.139</w:t>
            </w:r>
          </w:p>
        </w:tc>
        <w:tc>
          <w:tcPr>
            <w:tcW w:w="813" w:type="dxa"/>
            <w:tcBorders/>
            <w:shd w:color="auto" w:fill="auto" w:val="clear"/>
            <w:vAlign w:val="bottom"/>
          </w:tcPr>
          <w:p>
            <w:pPr>
              <w:pStyle w:val="Normal"/>
              <w:widowControl w:val="false"/>
              <w:spacing w:before="0" w:after="120"/>
              <w:rPr>
                <w:color w:val="000000"/>
              </w:rPr>
            </w:pPr>
            <w:r>
              <w:rPr>
                <w:color w:val="000000"/>
              </w:rPr>
              <w:t>0.034</w:t>
            </w:r>
          </w:p>
        </w:tc>
        <w:tc>
          <w:tcPr>
            <w:tcW w:w="861" w:type="dxa"/>
            <w:tcBorders/>
            <w:shd w:color="auto" w:fill="auto" w:val="clear"/>
            <w:vAlign w:val="bottom"/>
          </w:tcPr>
          <w:p>
            <w:pPr>
              <w:pStyle w:val="Normal"/>
              <w:widowControl w:val="false"/>
              <w:spacing w:before="0" w:after="120"/>
              <w:rPr>
                <w:color w:val="000000"/>
              </w:rPr>
            </w:pPr>
            <w:r>
              <w:rPr>
                <w:color w:val="000000"/>
              </w:rPr>
              <w:t>0.077</w:t>
            </w:r>
          </w:p>
        </w:tc>
        <w:tc>
          <w:tcPr>
            <w:tcW w:w="862" w:type="dxa"/>
            <w:tcBorders/>
            <w:shd w:color="auto" w:fill="auto" w:val="clear"/>
            <w:vAlign w:val="bottom"/>
          </w:tcPr>
          <w:p>
            <w:pPr>
              <w:pStyle w:val="Normal"/>
              <w:widowControl w:val="false"/>
              <w:spacing w:before="0" w:after="120"/>
              <w:rPr>
                <w:color w:val="000000"/>
              </w:rPr>
            </w:pPr>
            <w:r>
              <w:rPr>
                <w:color w:val="000000"/>
              </w:rPr>
              <w:t>0.151</w:t>
            </w:r>
          </w:p>
        </w:tc>
        <w:tc>
          <w:tcPr>
            <w:tcW w:w="812" w:type="dxa"/>
            <w:tcBorders/>
            <w:shd w:color="auto" w:fill="auto" w:val="clear"/>
            <w:vAlign w:val="bottom"/>
          </w:tcPr>
          <w:p>
            <w:pPr>
              <w:pStyle w:val="Normal"/>
              <w:widowControl w:val="false"/>
              <w:spacing w:before="0" w:after="120"/>
              <w:rPr>
                <w:color w:val="000000"/>
              </w:rPr>
            </w:pPr>
            <w:r>
              <w:rPr>
                <w:color w:val="000000"/>
              </w:rPr>
              <w:t>0.001</w:t>
            </w:r>
          </w:p>
        </w:tc>
        <w:tc>
          <w:tcPr>
            <w:tcW w:w="813" w:type="dxa"/>
            <w:tcBorders/>
            <w:shd w:color="auto" w:fill="auto" w:val="clear"/>
            <w:vAlign w:val="bottom"/>
          </w:tcPr>
          <w:p>
            <w:pPr>
              <w:pStyle w:val="Normal"/>
              <w:widowControl w:val="false"/>
              <w:spacing w:before="0" w:after="120"/>
              <w:rPr>
                <w:color w:val="000000"/>
              </w:rPr>
            </w:pPr>
            <w:r>
              <w:rPr>
                <w:color w:val="000000"/>
              </w:rPr>
              <w:t>0.049</w:t>
            </w:r>
          </w:p>
        </w:tc>
        <w:tc>
          <w:tcPr>
            <w:tcW w:w="811" w:type="dxa"/>
            <w:tcBorders/>
            <w:shd w:color="auto" w:fill="auto" w:val="clear"/>
            <w:vAlign w:val="bottom"/>
          </w:tcPr>
          <w:p>
            <w:pPr>
              <w:pStyle w:val="Normal"/>
              <w:widowControl w:val="false"/>
              <w:spacing w:before="0" w:after="120"/>
              <w:rPr>
                <w:color w:val="000000"/>
              </w:rPr>
            </w:pPr>
            <w:r>
              <w:rPr>
                <w:color w:val="000000"/>
              </w:rPr>
              <w:t>0.023</w:t>
            </w:r>
          </w:p>
        </w:tc>
        <w:tc>
          <w:tcPr>
            <w:tcW w:w="812" w:type="dxa"/>
            <w:tcBorders/>
            <w:shd w:color="auto" w:fill="auto" w:val="clear"/>
            <w:vAlign w:val="bottom"/>
          </w:tcPr>
          <w:p>
            <w:pPr>
              <w:pStyle w:val="Normal"/>
              <w:widowControl w:val="false"/>
              <w:spacing w:before="0" w:after="120"/>
              <w:rPr>
                <w:color w:val="000000"/>
              </w:rPr>
            </w:pPr>
            <w:r>
              <w:rPr>
                <w:color w:val="000000"/>
              </w:rPr>
              <w:t>0.003</w:t>
            </w:r>
          </w:p>
        </w:tc>
        <w:tc>
          <w:tcPr>
            <w:tcW w:w="814" w:type="dxa"/>
            <w:tcBorders/>
            <w:shd w:color="auto" w:fill="auto" w:val="clear"/>
            <w:vAlign w:val="bottom"/>
          </w:tcPr>
          <w:p>
            <w:pPr>
              <w:pStyle w:val="Normal"/>
              <w:widowControl w:val="false"/>
              <w:spacing w:before="0" w:after="120"/>
              <w:rPr>
                <w:color w:val="000000"/>
              </w:rPr>
            </w:pPr>
            <w:r>
              <w:rPr>
                <w:color w:val="000000"/>
              </w:rPr>
              <w:t>0.001</w:t>
            </w:r>
          </w:p>
        </w:tc>
        <w:tc>
          <w:tcPr>
            <w:tcW w:w="851" w:type="dxa"/>
            <w:tcBorders/>
            <w:shd w:color="auto" w:fill="auto" w:val="clear"/>
            <w:vAlign w:val="bottom"/>
          </w:tcPr>
          <w:p>
            <w:pPr>
              <w:pStyle w:val="Normal"/>
              <w:widowControl w:val="false"/>
              <w:spacing w:before="0" w:after="120"/>
              <w:rPr>
                <w:color w:val="000000"/>
              </w:rPr>
            </w:pPr>
            <w:r>
              <w:rPr>
                <w:color w:val="000000"/>
              </w:rPr>
              <w:t>0.020</w:t>
            </w:r>
          </w:p>
        </w:tc>
      </w:tr>
      <w:tr>
        <w:trPr>
          <w:trHeight w:val="315" w:hRule="atLeast"/>
        </w:trPr>
        <w:tc>
          <w:tcPr>
            <w:tcW w:w="1100" w:type="dxa"/>
            <w:tcBorders/>
            <w:shd w:color="auto" w:fill="auto" w:val="clear"/>
            <w:vAlign w:val="bottom"/>
          </w:tcPr>
          <w:p>
            <w:pPr>
              <w:pStyle w:val="Normal"/>
              <w:widowControl w:val="false"/>
              <w:spacing w:before="0" w:after="120"/>
              <w:rPr>
                <w:color w:val="000000"/>
              </w:rPr>
            </w:pPr>
            <w:r>
              <w:rPr>
                <w:color w:val="000000"/>
              </w:rPr>
              <w:t>Median</w:t>
            </w:r>
          </w:p>
        </w:tc>
        <w:tc>
          <w:tcPr>
            <w:tcW w:w="811" w:type="dxa"/>
            <w:tcBorders/>
            <w:shd w:color="auto" w:fill="auto" w:val="clear"/>
            <w:vAlign w:val="bottom"/>
          </w:tcPr>
          <w:p>
            <w:pPr>
              <w:pStyle w:val="Normal"/>
              <w:widowControl w:val="false"/>
              <w:spacing w:before="0" w:after="120"/>
              <w:jc w:val="center"/>
              <w:rPr>
                <w:color w:val="000000"/>
              </w:rPr>
            </w:pPr>
            <w:r>
              <w:rPr>
                <w:color w:val="000000"/>
              </w:rPr>
              <w:t>6.596</w:t>
            </w:r>
          </w:p>
        </w:tc>
        <w:tc>
          <w:tcPr>
            <w:tcW w:w="813" w:type="dxa"/>
            <w:tcBorders/>
            <w:shd w:color="auto" w:fill="auto" w:val="clear"/>
            <w:vAlign w:val="bottom"/>
          </w:tcPr>
          <w:p>
            <w:pPr>
              <w:pStyle w:val="Normal"/>
              <w:widowControl w:val="false"/>
              <w:spacing w:before="0" w:after="120"/>
              <w:rPr>
                <w:color w:val="000000"/>
              </w:rPr>
            </w:pPr>
            <w:r>
              <w:rPr>
                <w:color w:val="000000"/>
              </w:rPr>
              <w:t>0.415</w:t>
            </w:r>
          </w:p>
        </w:tc>
        <w:tc>
          <w:tcPr>
            <w:tcW w:w="861" w:type="dxa"/>
            <w:tcBorders/>
            <w:shd w:color="auto" w:fill="auto" w:val="clear"/>
            <w:vAlign w:val="bottom"/>
          </w:tcPr>
          <w:p>
            <w:pPr>
              <w:pStyle w:val="Normal"/>
              <w:widowControl w:val="false"/>
              <w:spacing w:before="0" w:after="120"/>
              <w:rPr>
                <w:color w:val="000000"/>
              </w:rPr>
            </w:pPr>
            <w:r>
              <w:rPr>
                <w:color w:val="000000"/>
              </w:rPr>
              <w:t>15.635</w:t>
            </w:r>
          </w:p>
        </w:tc>
        <w:tc>
          <w:tcPr>
            <w:tcW w:w="862" w:type="dxa"/>
            <w:tcBorders/>
            <w:shd w:color="auto" w:fill="auto" w:val="clear"/>
            <w:vAlign w:val="bottom"/>
          </w:tcPr>
          <w:p>
            <w:pPr>
              <w:pStyle w:val="Normal"/>
              <w:widowControl w:val="false"/>
              <w:spacing w:before="0" w:after="120"/>
              <w:rPr>
                <w:color w:val="000000"/>
              </w:rPr>
            </w:pPr>
            <w:r>
              <w:rPr>
                <w:color w:val="000000"/>
              </w:rPr>
              <w:t>75.290</w:t>
            </w:r>
          </w:p>
        </w:tc>
        <w:tc>
          <w:tcPr>
            <w:tcW w:w="812" w:type="dxa"/>
            <w:tcBorders/>
            <w:shd w:color="auto" w:fill="auto" w:val="clear"/>
            <w:vAlign w:val="bottom"/>
          </w:tcPr>
          <w:p>
            <w:pPr>
              <w:pStyle w:val="Normal"/>
              <w:widowControl w:val="false"/>
              <w:spacing w:before="0" w:after="120"/>
              <w:rPr>
                <w:color w:val="000000"/>
              </w:rPr>
            </w:pPr>
            <w:r>
              <w:rPr>
                <w:color w:val="000000"/>
              </w:rPr>
              <w:t>0.025</w:t>
            </w:r>
          </w:p>
        </w:tc>
        <w:tc>
          <w:tcPr>
            <w:tcW w:w="813" w:type="dxa"/>
            <w:tcBorders/>
            <w:shd w:color="auto" w:fill="auto" w:val="clear"/>
            <w:vAlign w:val="bottom"/>
          </w:tcPr>
          <w:p>
            <w:pPr>
              <w:pStyle w:val="Normal"/>
              <w:widowControl w:val="false"/>
              <w:spacing w:before="0" w:after="120"/>
              <w:rPr>
                <w:color w:val="000000"/>
              </w:rPr>
            </w:pPr>
            <w:r>
              <w:rPr>
                <w:color w:val="000000"/>
              </w:rPr>
              <w:t>3.622</w:t>
            </w:r>
          </w:p>
        </w:tc>
        <w:tc>
          <w:tcPr>
            <w:tcW w:w="811" w:type="dxa"/>
            <w:tcBorders/>
            <w:shd w:color="auto" w:fill="auto" w:val="clear"/>
            <w:vAlign w:val="bottom"/>
          </w:tcPr>
          <w:p>
            <w:pPr>
              <w:pStyle w:val="Normal"/>
              <w:widowControl w:val="false"/>
              <w:spacing w:before="0" w:after="120"/>
              <w:rPr>
                <w:color w:val="000000"/>
              </w:rPr>
            </w:pPr>
            <w:r>
              <w:rPr>
                <w:color w:val="000000"/>
              </w:rPr>
              <w:t>0.693</w:t>
            </w:r>
          </w:p>
        </w:tc>
        <w:tc>
          <w:tcPr>
            <w:tcW w:w="812" w:type="dxa"/>
            <w:tcBorders/>
            <w:shd w:color="auto" w:fill="auto" w:val="clear"/>
            <w:vAlign w:val="bottom"/>
          </w:tcPr>
          <w:p>
            <w:pPr>
              <w:pStyle w:val="Normal"/>
              <w:widowControl w:val="false"/>
              <w:spacing w:before="0" w:after="120"/>
              <w:rPr>
                <w:color w:val="000000"/>
              </w:rPr>
            </w:pPr>
            <w:r>
              <w:rPr>
                <w:color w:val="000000"/>
              </w:rPr>
              <w:t>0.086</w:t>
            </w:r>
          </w:p>
        </w:tc>
        <w:tc>
          <w:tcPr>
            <w:tcW w:w="814" w:type="dxa"/>
            <w:tcBorders/>
            <w:shd w:color="auto" w:fill="auto" w:val="clear"/>
            <w:vAlign w:val="bottom"/>
          </w:tcPr>
          <w:p>
            <w:pPr>
              <w:pStyle w:val="Normal"/>
              <w:widowControl w:val="false"/>
              <w:spacing w:before="0" w:after="120"/>
              <w:rPr>
                <w:color w:val="000000"/>
              </w:rPr>
            </w:pPr>
            <w:r>
              <w:rPr>
                <w:color w:val="000000"/>
              </w:rPr>
              <w:t>0.049</w:t>
            </w:r>
          </w:p>
        </w:tc>
        <w:tc>
          <w:tcPr>
            <w:tcW w:w="851" w:type="dxa"/>
            <w:tcBorders/>
            <w:shd w:color="auto" w:fill="auto" w:val="clear"/>
            <w:vAlign w:val="bottom"/>
          </w:tcPr>
          <w:p>
            <w:pPr>
              <w:pStyle w:val="Normal"/>
              <w:widowControl w:val="false"/>
              <w:spacing w:before="0" w:after="120"/>
              <w:rPr>
                <w:color w:val="000000"/>
              </w:rPr>
            </w:pPr>
            <w:r>
              <w:rPr>
                <w:color w:val="000000"/>
              </w:rPr>
              <w:t>0.894</w:t>
            </w:r>
          </w:p>
        </w:tc>
      </w:tr>
      <w:tr>
        <w:trPr>
          <w:trHeight w:val="315" w:hRule="atLeast"/>
        </w:trPr>
        <w:tc>
          <w:tcPr>
            <w:tcW w:w="1100" w:type="dxa"/>
            <w:tcBorders/>
            <w:shd w:color="auto" w:fill="auto" w:val="clear"/>
            <w:vAlign w:val="bottom"/>
          </w:tcPr>
          <w:p>
            <w:pPr>
              <w:pStyle w:val="Normal"/>
              <w:widowControl w:val="false"/>
              <w:spacing w:before="0" w:after="120"/>
              <w:rPr>
                <w:color w:val="000000"/>
              </w:rPr>
            </w:pPr>
            <w:r>
              <w:rPr>
                <w:color w:val="000000"/>
              </w:rPr>
              <w:t>SD</w:t>
            </w:r>
          </w:p>
        </w:tc>
        <w:tc>
          <w:tcPr>
            <w:tcW w:w="811" w:type="dxa"/>
            <w:tcBorders/>
            <w:shd w:color="auto" w:fill="auto" w:val="clear"/>
            <w:vAlign w:val="bottom"/>
          </w:tcPr>
          <w:p>
            <w:pPr>
              <w:pStyle w:val="Normal"/>
              <w:widowControl w:val="false"/>
              <w:spacing w:before="0" w:after="120"/>
              <w:jc w:val="center"/>
              <w:rPr>
                <w:color w:val="000000"/>
              </w:rPr>
            </w:pPr>
            <w:r>
              <w:rPr>
                <w:color w:val="000000"/>
              </w:rPr>
              <w:t>1.563</w:t>
            </w:r>
          </w:p>
        </w:tc>
        <w:tc>
          <w:tcPr>
            <w:tcW w:w="813" w:type="dxa"/>
            <w:tcBorders/>
            <w:shd w:color="auto" w:fill="auto" w:val="clear"/>
            <w:vAlign w:val="bottom"/>
          </w:tcPr>
          <w:p>
            <w:pPr>
              <w:pStyle w:val="Normal"/>
              <w:widowControl w:val="false"/>
              <w:spacing w:before="0" w:after="120"/>
              <w:rPr>
                <w:color w:val="000000"/>
              </w:rPr>
            </w:pPr>
            <w:r>
              <w:rPr>
                <w:color w:val="000000"/>
              </w:rPr>
              <w:t>0.386</w:t>
            </w:r>
          </w:p>
        </w:tc>
        <w:tc>
          <w:tcPr>
            <w:tcW w:w="861" w:type="dxa"/>
            <w:tcBorders/>
            <w:shd w:color="auto" w:fill="auto" w:val="clear"/>
            <w:vAlign w:val="bottom"/>
          </w:tcPr>
          <w:p>
            <w:pPr>
              <w:pStyle w:val="Normal"/>
              <w:widowControl w:val="false"/>
              <w:spacing w:before="0" w:after="120"/>
              <w:rPr>
                <w:color w:val="000000"/>
              </w:rPr>
            </w:pPr>
            <w:r>
              <w:rPr>
                <w:color w:val="000000"/>
              </w:rPr>
              <w:t>0.861</w:t>
            </w:r>
          </w:p>
        </w:tc>
        <w:tc>
          <w:tcPr>
            <w:tcW w:w="862" w:type="dxa"/>
            <w:tcBorders/>
            <w:shd w:color="auto" w:fill="auto" w:val="clear"/>
            <w:vAlign w:val="bottom"/>
          </w:tcPr>
          <w:p>
            <w:pPr>
              <w:pStyle w:val="Normal"/>
              <w:widowControl w:val="false"/>
              <w:spacing w:before="0" w:after="120"/>
              <w:rPr>
                <w:color w:val="000000"/>
              </w:rPr>
            </w:pPr>
            <w:r>
              <w:rPr>
                <w:color w:val="000000"/>
              </w:rPr>
              <w:t>1.696</w:t>
            </w:r>
          </w:p>
        </w:tc>
        <w:tc>
          <w:tcPr>
            <w:tcW w:w="812" w:type="dxa"/>
            <w:tcBorders/>
            <w:shd w:color="auto" w:fill="auto" w:val="clear"/>
            <w:vAlign w:val="bottom"/>
          </w:tcPr>
          <w:p>
            <w:pPr>
              <w:pStyle w:val="Normal"/>
              <w:widowControl w:val="false"/>
              <w:spacing w:before="0" w:after="120"/>
              <w:rPr>
                <w:color w:val="000000"/>
              </w:rPr>
            </w:pPr>
            <w:r>
              <w:rPr>
                <w:color w:val="000000"/>
              </w:rPr>
              <w:t>0.006</w:t>
            </w:r>
          </w:p>
        </w:tc>
        <w:tc>
          <w:tcPr>
            <w:tcW w:w="813" w:type="dxa"/>
            <w:tcBorders/>
            <w:shd w:color="auto" w:fill="auto" w:val="clear"/>
            <w:vAlign w:val="bottom"/>
          </w:tcPr>
          <w:p>
            <w:pPr>
              <w:pStyle w:val="Normal"/>
              <w:widowControl w:val="false"/>
              <w:spacing w:before="0" w:after="120"/>
              <w:rPr>
                <w:color w:val="000000"/>
              </w:rPr>
            </w:pPr>
            <w:r>
              <w:rPr>
                <w:color w:val="000000"/>
              </w:rPr>
              <w:t>0.550</w:t>
            </w:r>
          </w:p>
        </w:tc>
        <w:tc>
          <w:tcPr>
            <w:tcW w:w="811" w:type="dxa"/>
            <w:tcBorders/>
            <w:shd w:color="auto" w:fill="auto" w:val="clear"/>
            <w:vAlign w:val="bottom"/>
          </w:tcPr>
          <w:p>
            <w:pPr>
              <w:pStyle w:val="Normal"/>
              <w:widowControl w:val="false"/>
              <w:spacing w:before="0" w:after="120"/>
              <w:rPr>
                <w:color w:val="000000"/>
              </w:rPr>
            </w:pPr>
            <w:r>
              <w:rPr>
                <w:color w:val="000000"/>
              </w:rPr>
              <w:t>0.258</w:t>
            </w:r>
          </w:p>
        </w:tc>
        <w:tc>
          <w:tcPr>
            <w:tcW w:w="812" w:type="dxa"/>
            <w:tcBorders/>
            <w:shd w:color="auto" w:fill="auto" w:val="clear"/>
            <w:vAlign w:val="bottom"/>
          </w:tcPr>
          <w:p>
            <w:pPr>
              <w:pStyle w:val="Normal"/>
              <w:widowControl w:val="false"/>
              <w:spacing w:before="0" w:after="120"/>
              <w:rPr>
                <w:color w:val="000000"/>
              </w:rPr>
            </w:pPr>
            <w:r>
              <w:rPr>
                <w:color w:val="000000"/>
              </w:rPr>
              <w:t>0.034</w:t>
            </w:r>
          </w:p>
        </w:tc>
        <w:tc>
          <w:tcPr>
            <w:tcW w:w="814" w:type="dxa"/>
            <w:tcBorders/>
            <w:shd w:color="auto" w:fill="auto" w:val="clear"/>
            <w:vAlign w:val="bottom"/>
          </w:tcPr>
          <w:p>
            <w:pPr>
              <w:pStyle w:val="Normal"/>
              <w:widowControl w:val="false"/>
              <w:spacing w:before="0" w:after="120"/>
              <w:rPr>
                <w:color w:val="000000"/>
              </w:rPr>
            </w:pPr>
            <w:r>
              <w:rPr>
                <w:color w:val="000000"/>
              </w:rPr>
              <w:t>0.009</w:t>
            </w:r>
          </w:p>
        </w:tc>
        <w:tc>
          <w:tcPr>
            <w:tcW w:w="851" w:type="dxa"/>
            <w:tcBorders/>
            <w:shd w:color="auto" w:fill="auto" w:val="clear"/>
            <w:vAlign w:val="bottom"/>
          </w:tcPr>
          <w:p>
            <w:pPr>
              <w:pStyle w:val="Normal"/>
              <w:widowControl w:val="false"/>
              <w:spacing w:before="0" w:after="120"/>
              <w:rPr>
                <w:color w:val="000000"/>
              </w:rPr>
            </w:pPr>
            <w:r>
              <w:rPr>
                <w:color w:val="000000"/>
              </w:rPr>
              <w:t>0.221</w:t>
            </w:r>
          </w:p>
        </w:tc>
      </w:tr>
      <w:tr>
        <w:trPr>
          <w:trHeight w:val="315" w:hRule="atLeast"/>
        </w:trPr>
        <w:tc>
          <w:tcPr>
            <w:tcW w:w="1100" w:type="dxa"/>
            <w:tcBorders/>
            <w:shd w:color="auto" w:fill="auto" w:val="clear"/>
            <w:vAlign w:val="bottom"/>
          </w:tcPr>
          <w:p>
            <w:pPr>
              <w:pStyle w:val="Normal"/>
              <w:widowControl w:val="false"/>
              <w:spacing w:before="0" w:after="120"/>
              <w:rPr>
                <w:color w:val="000000"/>
              </w:rPr>
            </w:pPr>
            <w:r>
              <w:rPr>
                <w:color w:val="000000"/>
              </w:rPr>
              <w:t>Kurtosis</w:t>
            </w:r>
          </w:p>
        </w:tc>
        <w:tc>
          <w:tcPr>
            <w:tcW w:w="811" w:type="dxa"/>
            <w:tcBorders/>
            <w:shd w:color="auto" w:fill="auto" w:val="clear"/>
            <w:vAlign w:val="bottom"/>
          </w:tcPr>
          <w:p>
            <w:pPr>
              <w:pStyle w:val="Normal"/>
              <w:widowControl w:val="false"/>
              <w:spacing w:before="0" w:after="120"/>
              <w:jc w:val="center"/>
              <w:rPr>
                <w:color w:val="000000"/>
              </w:rPr>
            </w:pPr>
            <w:r>
              <w:rPr>
                <w:color w:val="000000"/>
              </w:rPr>
              <w:t>-1.582</w:t>
            </w:r>
          </w:p>
        </w:tc>
        <w:tc>
          <w:tcPr>
            <w:tcW w:w="813" w:type="dxa"/>
            <w:tcBorders/>
            <w:shd w:color="auto" w:fill="auto" w:val="clear"/>
            <w:vAlign w:val="bottom"/>
          </w:tcPr>
          <w:p>
            <w:pPr>
              <w:pStyle w:val="Normal"/>
              <w:widowControl w:val="false"/>
              <w:spacing w:before="0" w:after="120"/>
              <w:rPr>
                <w:color w:val="000000"/>
              </w:rPr>
            </w:pPr>
            <w:r>
              <w:rPr>
                <w:color w:val="000000"/>
              </w:rPr>
              <w:t>-1.148</w:t>
            </w:r>
          </w:p>
        </w:tc>
        <w:tc>
          <w:tcPr>
            <w:tcW w:w="861" w:type="dxa"/>
            <w:tcBorders/>
            <w:shd w:color="auto" w:fill="auto" w:val="clear"/>
            <w:vAlign w:val="bottom"/>
          </w:tcPr>
          <w:p>
            <w:pPr>
              <w:pStyle w:val="Normal"/>
              <w:widowControl w:val="false"/>
              <w:spacing w:before="0" w:after="120"/>
              <w:rPr>
                <w:color w:val="000000"/>
              </w:rPr>
            </w:pPr>
            <w:r>
              <w:rPr>
                <w:color w:val="000000"/>
              </w:rPr>
              <w:t>4.058</w:t>
            </w:r>
          </w:p>
        </w:tc>
        <w:tc>
          <w:tcPr>
            <w:tcW w:w="862" w:type="dxa"/>
            <w:tcBorders/>
            <w:shd w:color="auto" w:fill="auto" w:val="clear"/>
            <w:vAlign w:val="bottom"/>
          </w:tcPr>
          <w:p>
            <w:pPr>
              <w:pStyle w:val="Normal"/>
              <w:widowControl w:val="false"/>
              <w:spacing w:before="0" w:after="120"/>
              <w:rPr>
                <w:color w:val="000000"/>
              </w:rPr>
            </w:pPr>
            <w:r>
              <w:rPr>
                <w:color w:val="000000"/>
              </w:rPr>
              <w:t>18.690</w:t>
            </w:r>
          </w:p>
        </w:tc>
        <w:tc>
          <w:tcPr>
            <w:tcW w:w="812" w:type="dxa"/>
            <w:tcBorders/>
            <w:shd w:color="auto" w:fill="auto" w:val="clear"/>
            <w:vAlign w:val="bottom"/>
          </w:tcPr>
          <w:p>
            <w:pPr>
              <w:pStyle w:val="Normal"/>
              <w:widowControl w:val="false"/>
              <w:spacing w:before="0" w:after="120"/>
              <w:rPr>
                <w:color w:val="000000"/>
              </w:rPr>
            </w:pPr>
            <w:r>
              <w:rPr>
                <w:color w:val="000000"/>
              </w:rPr>
              <w:t>-0.828</w:t>
            </w:r>
          </w:p>
        </w:tc>
        <w:tc>
          <w:tcPr>
            <w:tcW w:w="813" w:type="dxa"/>
            <w:tcBorders/>
            <w:shd w:color="auto" w:fill="auto" w:val="clear"/>
            <w:vAlign w:val="bottom"/>
          </w:tcPr>
          <w:p>
            <w:pPr>
              <w:pStyle w:val="Normal"/>
              <w:widowControl w:val="false"/>
              <w:spacing w:before="0" w:after="120"/>
              <w:rPr>
                <w:color w:val="000000"/>
              </w:rPr>
            </w:pPr>
            <w:r>
              <w:rPr>
                <w:color w:val="000000"/>
              </w:rPr>
              <w:t>0.586</w:t>
            </w:r>
          </w:p>
        </w:tc>
        <w:tc>
          <w:tcPr>
            <w:tcW w:w="811" w:type="dxa"/>
            <w:tcBorders/>
            <w:shd w:color="auto" w:fill="auto" w:val="clear"/>
            <w:vAlign w:val="bottom"/>
          </w:tcPr>
          <w:p>
            <w:pPr>
              <w:pStyle w:val="Normal"/>
              <w:widowControl w:val="false"/>
              <w:spacing w:before="0" w:after="120"/>
              <w:rPr>
                <w:color w:val="000000"/>
              </w:rPr>
            </w:pPr>
            <w:r>
              <w:rPr>
                <w:color w:val="000000"/>
              </w:rPr>
              <w:t>-0.708</w:t>
            </w:r>
          </w:p>
        </w:tc>
        <w:tc>
          <w:tcPr>
            <w:tcW w:w="812" w:type="dxa"/>
            <w:tcBorders/>
            <w:shd w:color="auto" w:fill="auto" w:val="clear"/>
            <w:vAlign w:val="bottom"/>
          </w:tcPr>
          <w:p>
            <w:pPr>
              <w:pStyle w:val="Normal"/>
              <w:widowControl w:val="false"/>
              <w:spacing w:before="0" w:after="120"/>
              <w:rPr>
                <w:color w:val="000000"/>
              </w:rPr>
            </w:pPr>
            <w:r>
              <w:rPr>
                <w:color w:val="000000"/>
              </w:rPr>
              <w:t>-0.745</w:t>
            </w:r>
          </w:p>
        </w:tc>
        <w:tc>
          <w:tcPr>
            <w:tcW w:w="814" w:type="dxa"/>
            <w:tcBorders/>
            <w:shd w:color="auto" w:fill="auto" w:val="clear"/>
            <w:vAlign w:val="bottom"/>
          </w:tcPr>
          <w:p>
            <w:pPr>
              <w:pStyle w:val="Normal"/>
              <w:widowControl w:val="false"/>
              <w:spacing w:before="0" w:after="120"/>
              <w:rPr>
                <w:color w:val="000000"/>
              </w:rPr>
            </w:pPr>
            <w:r>
              <w:rPr>
                <w:color w:val="000000"/>
              </w:rPr>
              <w:t>-1.132</w:t>
            </w:r>
          </w:p>
        </w:tc>
        <w:tc>
          <w:tcPr>
            <w:tcW w:w="851" w:type="dxa"/>
            <w:tcBorders/>
            <w:shd w:color="auto" w:fill="auto" w:val="clear"/>
            <w:vAlign w:val="bottom"/>
          </w:tcPr>
          <w:p>
            <w:pPr>
              <w:pStyle w:val="Normal"/>
              <w:widowControl w:val="false"/>
              <w:spacing w:before="0" w:after="120"/>
              <w:rPr>
                <w:color w:val="000000"/>
              </w:rPr>
            </w:pPr>
            <w:r>
              <w:rPr>
                <w:color w:val="000000"/>
              </w:rPr>
              <w:t>-1.094</w:t>
            </w:r>
          </w:p>
        </w:tc>
      </w:tr>
      <w:tr>
        <w:trPr>
          <w:trHeight w:val="315" w:hRule="atLeast"/>
        </w:trPr>
        <w:tc>
          <w:tcPr>
            <w:tcW w:w="1100" w:type="dxa"/>
            <w:tcBorders/>
            <w:shd w:color="auto" w:fill="auto" w:val="clear"/>
            <w:vAlign w:val="bottom"/>
          </w:tcPr>
          <w:p>
            <w:pPr>
              <w:pStyle w:val="Normal"/>
              <w:widowControl w:val="false"/>
              <w:spacing w:before="0" w:after="120"/>
              <w:rPr>
                <w:color w:val="000000"/>
              </w:rPr>
            </w:pPr>
            <w:r>
              <w:rPr>
                <w:color w:val="000000"/>
              </w:rPr>
              <w:t>Skewness</w:t>
            </w:r>
          </w:p>
        </w:tc>
        <w:tc>
          <w:tcPr>
            <w:tcW w:w="811" w:type="dxa"/>
            <w:tcBorders/>
            <w:shd w:color="auto" w:fill="auto" w:val="clear"/>
            <w:vAlign w:val="bottom"/>
          </w:tcPr>
          <w:p>
            <w:pPr>
              <w:pStyle w:val="Normal"/>
              <w:widowControl w:val="false"/>
              <w:spacing w:before="0" w:after="120"/>
              <w:jc w:val="center"/>
              <w:rPr>
                <w:color w:val="000000"/>
              </w:rPr>
            </w:pPr>
            <w:r>
              <w:rPr>
                <w:color w:val="000000"/>
              </w:rPr>
              <w:t>-0.094</w:t>
            </w:r>
          </w:p>
        </w:tc>
        <w:tc>
          <w:tcPr>
            <w:tcW w:w="813" w:type="dxa"/>
            <w:tcBorders/>
            <w:shd w:color="auto" w:fill="auto" w:val="clear"/>
            <w:vAlign w:val="bottom"/>
          </w:tcPr>
          <w:p>
            <w:pPr>
              <w:pStyle w:val="Normal"/>
              <w:widowControl w:val="false"/>
              <w:spacing w:before="0" w:after="120"/>
              <w:rPr>
                <w:color w:val="000000"/>
              </w:rPr>
            </w:pPr>
            <w:r>
              <w:rPr>
                <w:color w:val="000000"/>
              </w:rPr>
              <w:t>0.588</w:t>
            </w:r>
          </w:p>
        </w:tc>
        <w:tc>
          <w:tcPr>
            <w:tcW w:w="861" w:type="dxa"/>
            <w:tcBorders/>
            <w:shd w:color="auto" w:fill="auto" w:val="clear"/>
            <w:vAlign w:val="bottom"/>
          </w:tcPr>
          <w:p>
            <w:pPr>
              <w:pStyle w:val="Normal"/>
              <w:widowControl w:val="false"/>
              <w:spacing w:before="0" w:after="120"/>
              <w:rPr>
                <w:color w:val="000000"/>
              </w:rPr>
            </w:pPr>
            <w:r>
              <w:rPr>
                <w:color w:val="000000"/>
              </w:rPr>
              <w:t>-1.000</w:t>
            </w:r>
          </w:p>
        </w:tc>
        <w:tc>
          <w:tcPr>
            <w:tcW w:w="862" w:type="dxa"/>
            <w:tcBorders/>
            <w:shd w:color="auto" w:fill="auto" w:val="clear"/>
            <w:vAlign w:val="bottom"/>
          </w:tcPr>
          <w:p>
            <w:pPr>
              <w:pStyle w:val="Normal"/>
              <w:widowControl w:val="false"/>
              <w:spacing w:before="0" w:after="120"/>
              <w:rPr>
                <w:color w:val="000000"/>
              </w:rPr>
            </w:pPr>
            <w:r>
              <w:rPr>
                <w:color w:val="000000"/>
              </w:rPr>
              <w:t>-2.389</w:t>
            </w:r>
          </w:p>
        </w:tc>
        <w:tc>
          <w:tcPr>
            <w:tcW w:w="812" w:type="dxa"/>
            <w:tcBorders/>
            <w:shd w:color="auto" w:fill="auto" w:val="clear"/>
            <w:vAlign w:val="bottom"/>
          </w:tcPr>
          <w:p>
            <w:pPr>
              <w:pStyle w:val="Normal"/>
              <w:widowControl w:val="false"/>
              <w:spacing w:before="0" w:after="120"/>
              <w:rPr>
                <w:color w:val="000000"/>
              </w:rPr>
            </w:pPr>
            <w:r>
              <w:rPr>
                <w:color w:val="000000"/>
              </w:rPr>
              <w:t>-0.408</w:t>
            </w:r>
          </w:p>
        </w:tc>
        <w:tc>
          <w:tcPr>
            <w:tcW w:w="813" w:type="dxa"/>
            <w:tcBorders/>
            <w:shd w:color="auto" w:fill="auto" w:val="clear"/>
            <w:vAlign w:val="bottom"/>
          </w:tcPr>
          <w:p>
            <w:pPr>
              <w:pStyle w:val="Normal"/>
              <w:widowControl w:val="false"/>
              <w:spacing w:before="0" w:after="120"/>
              <w:rPr>
                <w:color w:val="000000"/>
              </w:rPr>
            </w:pPr>
            <w:r>
              <w:rPr>
                <w:color w:val="000000"/>
              </w:rPr>
              <w:t>-0.958</w:t>
            </w:r>
          </w:p>
        </w:tc>
        <w:tc>
          <w:tcPr>
            <w:tcW w:w="811" w:type="dxa"/>
            <w:tcBorders/>
            <w:shd w:color="auto" w:fill="auto" w:val="clear"/>
            <w:vAlign w:val="bottom"/>
          </w:tcPr>
          <w:p>
            <w:pPr>
              <w:pStyle w:val="Normal"/>
              <w:widowControl w:val="false"/>
              <w:spacing w:before="0" w:after="120"/>
              <w:rPr>
                <w:color w:val="000000"/>
              </w:rPr>
            </w:pPr>
            <w:r>
              <w:rPr>
                <w:color w:val="000000"/>
              </w:rPr>
              <w:t>0.157</w:t>
            </w:r>
          </w:p>
        </w:tc>
        <w:tc>
          <w:tcPr>
            <w:tcW w:w="812" w:type="dxa"/>
            <w:tcBorders/>
            <w:shd w:color="auto" w:fill="auto" w:val="clear"/>
            <w:vAlign w:val="bottom"/>
          </w:tcPr>
          <w:p>
            <w:pPr>
              <w:pStyle w:val="Normal"/>
              <w:widowControl w:val="false"/>
              <w:spacing w:before="0" w:after="120"/>
              <w:rPr>
                <w:color w:val="000000"/>
              </w:rPr>
            </w:pPr>
            <w:r>
              <w:rPr>
                <w:color w:val="000000"/>
              </w:rPr>
              <w:t>-0.299</w:t>
            </w:r>
          </w:p>
        </w:tc>
        <w:tc>
          <w:tcPr>
            <w:tcW w:w="814" w:type="dxa"/>
            <w:tcBorders/>
            <w:shd w:color="auto" w:fill="auto" w:val="clear"/>
            <w:vAlign w:val="bottom"/>
          </w:tcPr>
          <w:p>
            <w:pPr>
              <w:pStyle w:val="Normal"/>
              <w:widowControl w:val="false"/>
              <w:spacing w:before="0" w:after="120"/>
              <w:rPr>
                <w:color w:val="000000"/>
              </w:rPr>
            </w:pPr>
            <w:r>
              <w:rPr>
                <w:color w:val="000000"/>
              </w:rPr>
              <w:t>0.117</w:t>
            </w:r>
          </w:p>
        </w:tc>
        <w:tc>
          <w:tcPr>
            <w:tcW w:w="851" w:type="dxa"/>
            <w:tcBorders/>
            <w:shd w:color="auto" w:fill="auto" w:val="clear"/>
            <w:vAlign w:val="bottom"/>
          </w:tcPr>
          <w:p>
            <w:pPr>
              <w:pStyle w:val="Normal"/>
              <w:widowControl w:val="false"/>
              <w:spacing w:before="0" w:after="120"/>
              <w:rPr>
                <w:color w:val="000000"/>
              </w:rPr>
            </w:pPr>
            <w:r>
              <w:rPr>
                <w:color w:val="000000"/>
              </w:rPr>
              <w:t>0.231</w:t>
            </w:r>
          </w:p>
        </w:tc>
      </w:tr>
      <w:tr>
        <w:trPr>
          <w:trHeight w:val="315" w:hRule="atLeast"/>
        </w:trPr>
        <w:tc>
          <w:tcPr>
            <w:tcW w:w="1100" w:type="dxa"/>
            <w:tcBorders/>
            <w:shd w:color="auto" w:fill="auto" w:val="clear"/>
            <w:vAlign w:val="bottom"/>
          </w:tcPr>
          <w:p>
            <w:pPr>
              <w:pStyle w:val="Normal"/>
              <w:widowControl w:val="false"/>
              <w:spacing w:before="0" w:after="120"/>
              <w:rPr>
                <w:color w:val="000000"/>
              </w:rPr>
            </w:pPr>
            <w:r>
              <w:rPr>
                <w:color w:val="000000"/>
              </w:rPr>
              <w:t>Min</w:t>
            </w:r>
          </w:p>
        </w:tc>
        <w:tc>
          <w:tcPr>
            <w:tcW w:w="811" w:type="dxa"/>
            <w:tcBorders/>
            <w:shd w:color="auto" w:fill="auto" w:val="clear"/>
            <w:vAlign w:val="bottom"/>
          </w:tcPr>
          <w:p>
            <w:pPr>
              <w:pStyle w:val="Normal"/>
              <w:widowControl w:val="false"/>
              <w:spacing w:before="0" w:after="120"/>
              <w:jc w:val="center"/>
              <w:rPr>
                <w:color w:val="000000"/>
              </w:rPr>
            </w:pPr>
            <w:r>
              <w:rPr>
                <w:color w:val="000000"/>
              </w:rPr>
              <w:t>3.300</w:t>
            </w:r>
          </w:p>
        </w:tc>
        <w:tc>
          <w:tcPr>
            <w:tcW w:w="813" w:type="dxa"/>
            <w:tcBorders/>
            <w:shd w:color="auto" w:fill="auto" w:val="clear"/>
            <w:vAlign w:val="bottom"/>
          </w:tcPr>
          <w:p>
            <w:pPr>
              <w:pStyle w:val="Normal"/>
              <w:widowControl w:val="false"/>
              <w:spacing w:before="0" w:after="120"/>
              <w:rPr>
                <w:color w:val="000000"/>
              </w:rPr>
            </w:pPr>
            <w:r>
              <w:rPr>
                <w:color w:val="000000"/>
              </w:rPr>
              <w:t>0.052</w:t>
            </w:r>
          </w:p>
        </w:tc>
        <w:tc>
          <w:tcPr>
            <w:tcW w:w="861" w:type="dxa"/>
            <w:tcBorders/>
            <w:shd w:color="auto" w:fill="auto" w:val="clear"/>
            <w:vAlign w:val="bottom"/>
          </w:tcPr>
          <w:p>
            <w:pPr>
              <w:pStyle w:val="Normal"/>
              <w:widowControl w:val="false"/>
              <w:spacing w:before="0" w:after="120"/>
              <w:rPr>
                <w:color w:val="000000"/>
              </w:rPr>
            </w:pPr>
            <w:r>
              <w:rPr>
                <w:color w:val="000000"/>
              </w:rPr>
              <w:t>11.320</w:t>
            </w:r>
          </w:p>
        </w:tc>
        <w:tc>
          <w:tcPr>
            <w:tcW w:w="862" w:type="dxa"/>
            <w:tcBorders/>
            <w:shd w:color="auto" w:fill="auto" w:val="clear"/>
            <w:vAlign w:val="bottom"/>
          </w:tcPr>
          <w:p>
            <w:pPr>
              <w:pStyle w:val="Normal"/>
              <w:widowControl w:val="false"/>
              <w:spacing w:before="0" w:after="120"/>
              <w:rPr>
                <w:color w:val="000000"/>
              </w:rPr>
            </w:pPr>
            <w:r>
              <w:rPr>
                <w:color w:val="000000"/>
              </w:rPr>
              <w:t>63.280</w:t>
            </w:r>
          </w:p>
        </w:tc>
        <w:tc>
          <w:tcPr>
            <w:tcW w:w="812" w:type="dxa"/>
            <w:tcBorders/>
            <w:shd w:color="auto" w:fill="auto" w:val="clear"/>
            <w:vAlign w:val="bottom"/>
          </w:tcPr>
          <w:p>
            <w:pPr>
              <w:pStyle w:val="Normal"/>
              <w:widowControl w:val="false"/>
              <w:spacing w:before="0" w:after="120"/>
              <w:rPr>
                <w:color w:val="000000"/>
              </w:rPr>
            </w:pPr>
            <w:r>
              <w:rPr>
                <w:color w:val="000000"/>
              </w:rPr>
              <w:t>0.011</w:t>
            </w:r>
          </w:p>
        </w:tc>
        <w:tc>
          <w:tcPr>
            <w:tcW w:w="813" w:type="dxa"/>
            <w:tcBorders/>
            <w:shd w:color="auto" w:fill="auto" w:val="clear"/>
            <w:vAlign w:val="bottom"/>
          </w:tcPr>
          <w:p>
            <w:pPr>
              <w:pStyle w:val="Normal"/>
              <w:widowControl w:val="false"/>
              <w:spacing w:before="0" w:after="120"/>
              <w:rPr>
                <w:color w:val="000000"/>
              </w:rPr>
            </w:pPr>
            <w:r>
              <w:rPr>
                <w:color w:val="000000"/>
              </w:rPr>
              <w:t>2.022</w:t>
            </w:r>
          </w:p>
        </w:tc>
        <w:tc>
          <w:tcPr>
            <w:tcW w:w="811" w:type="dxa"/>
            <w:tcBorders/>
            <w:shd w:color="auto" w:fill="auto" w:val="clear"/>
            <w:vAlign w:val="bottom"/>
          </w:tcPr>
          <w:p>
            <w:pPr>
              <w:pStyle w:val="Normal"/>
              <w:widowControl w:val="false"/>
              <w:spacing w:before="0" w:after="120"/>
              <w:rPr>
                <w:color w:val="000000"/>
              </w:rPr>
            </w:pPr>
            <w:r>
              <w:rPr>
                <w:color w:val="000000"/>
              </w:rPr>
              <w:t>0.245</w:t>
            </w:r>
          </w:p>
        </w:tc>
        <w:tc>
          <w:tcPr>
            <w:tcW w:w="812" w:type="dxa"/>
            <w:tcBorders/>
            <w:shd w:color="auto" w:fill="auto" w:val="clear"/>
            <w:vAlign w:val="bottom"/>
          </w:tcPr>
          <w:p>
            <w:pPr>
              <w:pStyle w:val="Normal"/>
              <w:widowControl w:val="false"/>
              <w:spacing w:before="0" w:after="120"/>
              <w:rPr>
                <w:color w:val="000000"/>
              </w:rPr>
            </w:pPr>
            <w:r>
              <w:rPr>
                <w:color w:val="000000"/>
              </w:rPr>
              <w:t>0.020</w:t>
            </w:r>
          </w:p>
        </w:tc>
        <w:tc>
          <w:tcPr>
            <w:tcW w:w="814" w:type="dxa"/>
            <w:tcBorders/>
            <w:shd w:color="auto" w:fill="auto" w:val="clear"/>
            <w:vAlign w:val="bottom"/>
          </w:tcPr>
          <w:p>
            <w:pPr>
              <w:pStyle w:val="Normal"/>
              <w:widowControl w:val="false"/>
              <w:spacing w:before="0" w:after="120"/>
              <w:rPr>
                <w:color w:val="000000"/>
              </w:rPr>
            </w:pPr>
            <w:r>
              <w:rPr>
                <w:color w:val="000000"/>
              </w:rPr>
              <w:t>0.033</w:t>
            </w:r>
          </w:p>
        </w:tc>
        <w:tc>
          <w:tcPr>
            <w:tcW w:w="851" w:type="dxa"/>
            <w:tcBorders/>
            <w:shd w:color="auto" w:fill="auto" w:val="clear"/>
            <w:vAlign w:val="bottom"/>
          </w:tcPr>
          <w:p>
            <w:pPr>
              <w:pStyle w:val="Normal"/>
              <w:widowControl w:val="false"/>
              <w:spacing w:before="0" w:after="120"/>
              <w:rPr>
                <w:color w:val="000000"/>
              </w:rPr>
            </w:pPr>
            <w:r>
              <w:rPr>
                <w:color w:val="000000"/>
              </w:rPr>
              <w:t>0.560</w:t>
            </w:r>
          </w:p>
        </w:tc>
      </w:tr>
      <w:tr>
        <w:trPr>
          <w:trHeight w:val="315" w:hRule="atLeast"/>
        </w:trPr>
        <w:tc>
          <w:tcPr>
            <w:tcW w:w="1100"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Max</w:t>
            </w:r>
          </w:p>
        </w:tc>
        <w:tc>
          <w:tcPr>
            <w:tcW w:w="811" w:type="dxa"/>
            <w:tcBorders>
              <w:bottom w:val="single" w:sz="4" w:space="0" w:color="000000"/>
            </w:tcBorders>
            <w:shd w:color="auto" w:fill="auto" w:val="clear"/>
            <w:vAlign w:val="bottom"/>
          </w:tcPr>
          <w:p>
            <w:pPr>
              <w:pStyle w:val="Normal"/>
              <w:widowControl w:val="false"/>
              <w:spacing w:before="0" w:after="120"/>
              <w:jc w:val="center"/>
              <w:rPr>
                <w:color w:val="000000"/>
              </w:rPr>
            </w:pPr>
            <w:r>
              <w:rPr>
                <w:color w:val="000000"/>
              </w:rPr>
              <w:t>8.505</w:t>
            </w:r>
          </w:p>
        </w:tc>
        <w:tc>
          <w:tcPr>
            <w:tcW w:w="813"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1.334</w:t>
            </w:r>
          </w:p>
        </w:tc>
        <w:tc>
          <w:tcPr>
            <w:tcW w:w="861"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17.260</w:t>
            </w:r>
          </w:p>
        </w:tc>
        <w:tc>
          <w:tcPr>
            <w:tcW w:w="862"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79.090</w:t>
            </w:r>
          </w:p>
        </w:tc>
        <w:tc>
          <w:tcPr>
            <w:tcW w:w="812"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0.037</w:t>
            </w:r>
          </w:p>
        </w:tc>
        <w:tc>
          <w:tcPr>
            <w:tcW w:w="813"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4.268</w:t>
            </w:r>
          </w:p>
        </w:tc>
        <w:tc>
          <w:tcPr>
            <w:tcW w:w="811"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1.203</w:t>
            </w:r>
          </w:p>
        </w:tc>
        <w:tc>
          <w:tcPr>
            <w:tcW w:w="812"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0.139</w:t>
            </w:r>
          </w:p>
        </w:tc>
        <w:tc>
          <w:tcPr>
            <w:tcW w:w="814"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0.066</w:t>
            </w:r>
          </w:p>
        </w:tc>
        <w:tc>
          <w:tcPr>
            <w:tcW w:w="851" w:type="dxa"/>
            <w:tcBorders>
              <w:bottom w:val="single" w:sz="4" w:space="0" w:color="000000"/>
            </w:tcBorders>
            <w:shd w:color="auto" w:fill="auto" w:val="clear"/>
            <w:vAlign w:val="bottom"/>
          </w:tcPr>
          <w:p>
            <w:pPr>
              <w:pStyle w:val="Normal"/>
              <w:widowControl w:val="false"/>
              <w:spacing w:before="0" w:after="120"/>
              <w:rPr>
                <w:color w:val="000000"/>
              </w:rPr>
            </w:pPr>
            <w:r>
              <w:rPr>
                <w:color w:val="000000"/>
              </w:rPr>
              <w:t>1.349</w:t>
            </w:r>
          </w:p>
        </w:tc>
      </w:tr>
    </w:tbl>
    <w:p>
      <w:pPr>
        <w:pStyle w:val="Default"/>
        <w:jc w:val="center"/>
        <w:rPr>
          <w:b/>
          <w:b/>
        </w:rPr>
      </w:pPr>
      <w:r>
        <w:rPr>
          <w:b/>
        </w:rPr>
      </w:r>
    </w:p>
    <w:p>
      <w:pPr>
        <w:pStyle w:val="Default"/>
        <w:jc w:val="center"/>
        <w:rPr>
          <w:b/>
          <w:b/>
        </w:rPr>
      </w:pPr>
      <w:r>
        <w:rPr>
          <w:b/>
        </w:rPr>
      </w:r>
    </w:p>
    <w:p>
      <w:pPr>
        <w:pStyle w:val="Normal"/>
        <w:spacing w:lineRule="auto" w:line="480"/>
        <w:jc w:val="both"/>
        <w:rPr>
          <w:lang w:val="tr-TR"/>
        </w:rPr>
      </w:pPr>
      <w:r>
        <w:rPr/>
        <w:t xml:space="preserve">According to their average, the oxides analyzed in perlite samples are listed as </w:t>
      </w:r>
      <w:r>
        <w:rPr>
          <w:lang w:val="tr-TR"/>
        </w:rPr>
        <w:t>SiO</w:t>
      </w:r>
      <w:r>
        <w:rPr>
          <w:vertAlign w:val="subscript"/>
          <w:lang w:val="tr-TR"/>
        </w:rPr>
        <w:t>2</w:t>
      </w:r>
      <w:r>
        <w:rPr>
          <w:lang w:val="tr-TR"/>
        </w:rPr>
        <w:t xml:space="preserve"> &gt; Al</w:t>
      </w:r>
      <w:r>
        <w:rPr>
          <w:vertAlign w:val="subscript"/>
          <w:lang w:val="tr-TR"/>
        </w:rPr>
        <w:t>2</w:t>
      </w:r>
      <w:r>
        <w:rPr>
          <w:lang w:val="tr-TR"/>
        </w:rPr>
        <w:t>O</w:t>
      </w:r>
      <w:r>
        <w:rPr>
          <w:vertAlign w:val="subscript"/>
          <w:lang w:val="tr-TR"/>
        </w:rPr>
        <w:t>3</w:t>
      </w:r>
      <w:r>
        <w:rPr>
          <w:lang w:val="tr-TR"/>
        </w:rPr>
        <w:t xml:space="preserve"> &gt; Na</w:t>
      </w:r>
      <w:r>
        <w:rPr>
          <w:vertAlign w:val="subscript"/>
          <w:lang w:val="tr-TR"/>
        </w:rPr>
        <w:t>2</w:t>
      </w:r>
      <w:r>
        <w:rPr>
          <w:lang w:val="tr-TR"/>
        </w:rPr>
        <w:t>O &gt; K</w:t>
      </w:r>
      <w:r>
        <w:rPr>
          <w:vertAlign w:val="subscript"/>
          <w:lang w:val="tr-TR"/>
        </w:rPr>
        <w:t>2</w:t>
      </w:r>
      <w:r>
        <w:rPr>
          <w:lang w:val="tr-TR"/>
        </w:rPr>
        <w:t>O &gt; Fe</w:t>
      </w:r>
      <w:r>
        <w:rPr>
          <w:vertAlign w:val="subscript"/>
          <w:lang w:val="tr-TR"/>
        </w:rPr>
        <w:t>2</w:t>
      </w:r>
      <w:r>
        <w:rPr>
          <w:lang w:val="tr-TR"/>
        </w:rPr>
        <w:t>O</w:t>
      </w:r>
      <w:r>
        <w:rPr>
          <w:vertAlign w:val="subscript"/>
          <w:lang w:val="tr-TR"/>
        </w:rPr>
        <w:t>3</w:t>
      </w:r>
      <w:r>
        <w:rPr>
          <w:lang w:val="tr-TR"/>
        </w:rPr>
        <w:t xml:space="preserve"> &gt; CaO &gt; MgO &gt; TiO</w:t>
      </w:r>
      <w:r>
        <w:rPr>
          <w:vertAlign w:val="subscript"/>
          <w:lang w:val="tr-TR"/>
        </w:rPr>
        <w:t>2</w:t>
      </w:r>
      <w:r>
        <w:rPr>
          <w:lang w:val="tr-TR"/>
        </w:rPr>
        <w:t xml:space="preserve"> &gt; MnO. </w:t>
      </w:r>
    </w:p>
    <w:p>
      <w:pPr>
        <w:pStyle w:val="Normal"/>
        <w:spacing w:lineRule="auto" w:line="480"/>
        <w:jc w:val="both"/>
        <w:rPr>
          <w:lang w:val="en-GB"/>
        </w:rPr>
      </w:pPr>
      <w:r>
        <w:rPr>
          <w:lang w:val="tr-TR"/>
        </w:rPr>
        <w:t xml:space="preserve">   </w:t>
      </w:r>
      <w:r>
        <w:rPr>
          <w:bCs/>
          <w:color w:val="000000"/>
        </w:rPr>
        <w:t>The SiO</w:t>
      </w:r>
      <w:r>
        <w:rPr>
          <w:bCs/>
          <w:color w:val="000000"/>
          <w:vertAlign w:val="subscript"/>
        </w:rPr>
        <w:t xml:space="preserve">2 </w:t>
      </w:r>
      <w:r>
        <w:rPr>
          <w:bCs/>
          <w:color w:val="000000"/>
        </w:rPr>
        <w:t>concentrations in Turkish perlites varied from 63.28 (perlite sample from PERQ4) to 79.09% (perlite sample from PERQ8) with a mean of 75.18%. As shown in Fig. 1, the average SiO</w:t>
      </w:r>
      <w:r>
        <w:rPr>
          <w:bCs/>
          <w:color w:val="000000"/>
          <w:vertAlign w:val="subscript"/>
        </w:rPr>
        <w:t xml:space="preserve">2 </w:t>
      </w:r>
      <w:r>
        <w:rPr>
          <w:bCs/>
          <w:color w:val="000000"/>
        </w:rPr>
        <w:t>concentration is 1.4 times higher than the average value of Earth's continental crust of 54.55% (</w:t>
      </w:r>
      <w:r>
        <w:rPr>
          <w:shd w:fill="FFFFFF" w:val="clear"/>
        </w:rPr>
        <w:t>Yaroshevsky</w:t>
      </w:r>
      <w:r>
        <w:rPr/>
        <w:t xml:space="preserve"> 2006)</w:t>
      </w:r>
      <w:r>
        <w:rPr>
          <w:lang w:val="en-GB"/>
        </w:rPr>
        <w:t>.</w:t>
      </w:r>
      <w:r>
        <w:rPr>
          <w:bCs/>
          <w:color w:val="000000"/>
        </w:rPr>
        <w:t xml:space="preserve"> </w:t>
      </w:r>
      <w:r>
        <w:rPr/>
        <w:t xml:space="preserve">From Table 5, the highest </w:t>
      </w:r>
      <w:r>
        <w:rPr>
          <w:bCs/>
          <w:color w:val="000000"/>
        </w:rPr>
        <w:t>SiO</w:t>
      </w:r>
      <w:r>
        <w:rPr>
          <w:bCs/>
          <w:color w:val="000000"/>
          <w:vertAlign w:val="subscript"/>
        </w:rPr>
        <w:t xml:space="preserve">2 </w:t>
      </w:r>
      <w:r>
        <w:rPr>
          <w:bCs/>
          <w:color w:val="000000"/>
        </w:rPr>
        <w:t>concentration</w:t>
      </w:r>
      <w:r>
        <w:rPr/>
        <w:t xml:space="preserve"> was analyzed in the PERQ3. The average </w:t>
      </w:r>
      <w:r>
        <w:rPr>
          <w:bCs/>
          <w:color w:val="000000"/>
        </w:rPr>
        <w:t>SiO</w:t>
      </w:r>
      <w:r>
        <w:rPr>
          <w:bCs/>
          <w:color w:val="000000"/>
          <w:vertAlign w:val="subscript"/>
        </w:rPr>
        <w:t xml:space="preserve">2 </w:t>
      </w:r>
      <w:r>
        <w:rPr>
          <w:bCs/>
          <w:color w:val="000000"/>
        </w:rPr>
        <w:t>concentrations</w:t>
      </w:r>
      <w:r>
        <w:rPr/>
        <w:t xml:space="preserve"> in perlite quarries are summarized </w:t>
      </w:r>
      <w:r>
        <w:rPr>
          <w:lang w:val="en-GB"/>
        </w:rPr>
        <w:t xml:space="preserve">in descending order as follows: PERQ3 </w:t>
      </w:r>
      <w:r>
        <w:rPr>
          <w:lang w:val="tr-TR"/>
        </w:rPr>
        <w:t>&gt;</w:t>
      </w:r>
      <w:r>
        <w:rPr>
          <w:lang w:val="en-GB"/>
        </w:rPr>
        <w:t xml:space="preserve"> PERQ8 </w:t>
      </w:r>
      <w:r>
        <w:rPr>
          <w:lang w:val="tr-TR"/>
        </w:rPr>
        <w:t>&gt;</w:t>
      </w:r>
      <w:r>
        <w:rPr>
          <w:lang w:val="en-GB"/>
        </w:rPr>
        <w:t xml:space="preserve"> PERQ5 </w:t>
      </w:r>
      <w:r>
        <w:rPr>
          <w:lang w:val="tr-TR"/>
        </w:rPr>
        <w:t>&gt;</w:t>
      </w:r>
      <w:r>
        <w:rPr>
          <w:lang w:val="en-GB"/>
        </w:rPr>
        <w:t xml:space="preserve"> PERQ1 </w:t>
      </w:r>
      <w:r>
        <w:rPr>
          <w:lang w:val="tr-TR"/>
        </w:rPr>
        <w:t>&gt;</w:t>
      </w:r>
      <w:r>
        <w:rPr>
          <w:lang w:val="en-GB"/>
        </w:rPr>
        <w:t xml:space="preserve"> PERQ7 </w:t>
      </w:r>
      <w:r>
        <w:rPr>
          <w:lang w:val="tr-TR"/>
        </w:rPr>
        <w:t>&gt;</w:t>
      </w:r>
      <w:r>
        <w:rPr>
          <w:lang w:val="en-GB"/>
        </w:rPr>
        <w:t xml:space="preserve"> PERQ9 </w:t>
      </w:r>
      <w:r>
        <w:rPr>
          <w:lang w:val="tr-TR"/>
        </w:rPr>
        <w:t>&gt;</w:t>
      </w:r>
      <w:r>
        <w:rPr>
          <w:lang w:val="en-GB"/>
        </w:rPr>
        <w:t xml:space="preserve"> PERQ4 </w:t>
      </w:r>
      <w:r>
        <w:rPr>
          <w:lang w:val="tr-TR"/>
        </w:rPr>
        <w:t>&gt;</w:t>
      </w:r>
      <w:r>
        <w:rPr>
          <w:lang w:val="en-GB"/>
        </w:rPr>
        <w:t xml:space="preserve"> PERQ12 </w:t>
      </w:r>
      <w:r>
        <w:rPr>
          <w:lang w:val="tr-TR"/>
        </w:rPr>
        <w:t>&gt;</w:t>
      </w:r>
      <w:r>
        <w:rPr>
          <w:lang w:val="en-GB"/>
        </w:rPr>
        <w:t xml:space="preserve"> PERQ2 </w:t>
      </w:r>
      <w:r>
        <w:rPr>
          <w:lang w:val="tr-TR"/>
        </w:rPr>
        <w:t>&gt;</w:t>
      </w:r>
      <w:r>
        <w:rPr>
          <w:lang w:val="en-GB"/>
        </w:rPr>
        <w:t xml:space="preserve"> PERQ6 </w:t>
      </w:r>
      <w:r>
        <w:rPr>
          <w:lang w:val="tr-TR"/>
        </w:rPr>
        <w:t>&gt;</w:t>
      </w:r>
      <w:r>
        <w:rPr>
          <w:lang w:val="en-GB"/>
        </w:rPr>
        <w:t xml:space="preserve"> PERQ10 </w:t>
      </w:r>
      <w:r>
        <w:rPr>
          <w:lang w:val="tr-TR"/>
        </w:rPr>
        <w:t>&gt;</w:t>
      </w:r>
      <w:r>
        <w:rPr>
          <w:lang w:val="en-GB"/>
        </w:rPr>
        <w:t xml:space="preserve"> PERQ11.</w:t>
      </w:r>
    </w:p>
    <w:p>
      <w:pPr>
        <w:pStyle w:val="Normal"/>
        <w:spacing w:lineRule="auto" w:line="480"/>
        <w:jc w:val="both"/>
        <w:rPr>
          <w:lang w:val="en-GB"/>
        </w:rPr>
      </w:pPr>
      <w:r>
        <w:rPr>
          <w:bCs/>
          <w:color w:val="000000"/>
        </w:rPr>
        <w:t xml:space="preserve">   </w:t>
      </w:r>
      <w:r>
        <w:rPr>
          <w:bCs/>
          <w:color w:val="000000"/>
        </w:rPr>
        <w:t>The Al</w:t>
      </w:r>
      <w:r>
        <w:rPr>
          <w:bCs/>
          <w:color w:val="000000"/>
          <w:vertAlign w:val="subscript"/>
        </w:rPr>
        <w:t>2</w:t>
      </w:r>
      <w:r>
        <w:rPr>
          <w:bCs/>
          <w:color w:val="000000"/>
        </w:rPr>
        <w:t>O</w:t>
      </w:r>
      <w:r>
        <w:rPr>
          <w:bCs/>
          <w:color w:val="000000"/>
          <w:vertAlign w:val="subscript"/>
        </w:rPr>
        <w:t xml:space="preserve">3 </w:t>
      </w:r>
      <w:r>
        <w:rPr>
          <w:bCs/>
          <w:color w:val="000000"/>
        </w:rPr>
        <w:t>concentrations in Turkish perlites varied from 11.32 (perlite sample from PERQ4) to 17.26% (perlite sample from PERQ12) with a mean of 15.65%. The average Al</w:t>
      </w:r>
      <w:r>
        <w:rPr>
          <w:bCs/>
          <w:color w:val="000000"/>
          <w:vertAlign w:val="subscript"/>
        </w:rPr>
        <w:t>2</w:t>
      </w:r>
      <w:r>
        <w:rPr>
          <w:bCs/>
          <w:color w:val="000000"/>
        </w:rPr>
        <w:t>O</w:t>
      </w:r>
      <w:r>
        <w:rPr>
          <w:bCs/>
          <w:color w:val="000000"/>
          <w:vertAlign w:val="subscript"/>
        </w:rPr>
        <w:t xml:space="preserve">3 </w:t>
      </w:r>
      <w:r>
        <w:rPr>
          <w:bCs/>
          <w:color w:val="000000"/>
        </w:rPr>
        <w:t>concentration is very close to the average value of Earth's continental crust of 15.87% (</w:t>
      </w:r>
      <w:r>
        <w:rPr>
          <w:shd w:fill="FFFFFF" w:val="clear"/>
        </w:rPr>
        <w:t>Yaroshevsky</w:t>
      </w:r>
      <w:r>
        <w:rPr/>
        <w:t xml:space="preserve"> 2006)</w:t>
      </w:r>
      <w:r>
        <w:rPr>
          <w:lang w:val="en-GB"/>
        </w:rPr>
        <w:t>.</w:t>
      </w:r>
      <w:r>
        <w:rPr>
          <w:bCs/>
          <w:color w:val="000000"/>
        </w:rPr>
        <w:t xml:space="preserve"> However, the average Al</w:t>
      </w:r>
      <w:r>
        <w:rPr>
          <w:bCs/>
          <w:color w:val="000000"/>
          <w:vertAlign w:val="subscript"/>
        </w:rPr>
        <w:t>2</w:t>
      </w:r>
      <w:r>
        <w:rPr>
          <w:bCs/>
          <w:color w:val="000000"/>
        </w:rPr>
        <w:t>O</w:t>
      </w:r>
      <w:r>
        <w:rPr>
          <w:bCs/>
          <w:color w:val="000000"/>
          <w:vertAlign w:val="subscript"/>
        </w:rPr>
        <w:t xml:space="preserve">3 </w:t>
      </w:r>
      <w:r>
        <w:rPr>
          <w:bCs/>
          <w:color w:val="000000"/>
        </w:rPr>
        <w:t>concentrations analyzed in perlite samples from PERQ12, PERQ9, and PERQ1 are above the average value of Earth's continental crust. T</w:t>
      </w:r>
      <w:r>
        <w:rPr/>
        <w:t xml:space="preserve">he highest </w:t>
      </w:r>
      <w:r>
        <w:rPr>
          <w:bCs/>
          <w:color w:val="000000"/>
        </w:rPr>
        <w:t>Al</w:t>
      </w:r>
      <w:r>
        <w:rPr>
          <w:bCs/>
          <w:color w:val="000000"/>
          <w:vertAlign w:val="subscript"/>
        </w:rPr>
        <w:t>2</w:t>
      </w:r>
      <w:r>
        <w:rPr>
          <w:bCs/>
          <w:color w:val="000000"/>
        </w:rPr>
        <w:t>O</w:t>
      </w:r>
      <w:r>
        <w:rPr>
          <w:bCs/>
          <w:color w:val="000000"/>
          <w:vertAlign w:val="subscript"/>
        </w:rPr>
        <w:t xml:space="preserve">3 </w:t>
      </w:r>
      <w:r>
        <w:rPr>
          <w:bCs/>
          <w:color w:val="000000"/>
        </w:rPr>
        <w:t>concentration</w:t>
      </w:r>
      <w:r>
        <w:rPr/>
        <w:t xml:space="preserve"> was analyzed in the PERQ12. The average </w:t>
      </w:r>
      <w:r>
        <w:rPr>
          <w:bCs/>
          <w:color w:val="000000"/>
        </w:rPr>
        <w:t>Al</w:t>
      </w:r>
      <w:r>
        <w:rPr>
          <w:bCs/>
          <w:color w:val="000000"/>
          <w:vertAlign w:val="subscript"/>
        </w:rPr>
        <w:t>2</w:t>
      </w:r>
      <w:r>
        <w:rPr>
          <w:bCs/>
          <w:color w:val="000000"/>
        </w:rPr>
        <w:t>O</w:t>
      </w:r>
      <w:r>
        <w:rPr>
          <w:bCs/>
          <w:color w:val="000000"/>
          <w:vertAlign w:val="subscript"/>
        </w:rPr>
        <w:t xml:space="preserve">3 </w:t>
      </w:r>
      <w:r>
        <w:rPr>
          <w:bCs/>
          <w:color w:val="000000"/>
        </w:rPr>
        <w:t>concentrations</w:t>
      </w:r>
      <w:r>
        <w:rPr/>
        <w:t xml:space="preserve"> in perlite quarries are summarized </w:t>
      </w:r>
      <w:r>
        <w:rPr>
          <w:lang w:val="en-GB"/>
        </w:rPr>
        <w:t xml:space="preserve">in descending order as follows: PERQ12 </w:t>
      </w:r>
      <w:r>
        <w:rPr>
          <w:lang w:val="tr-TR"/>
        </w:rPr>
        <w:t>&gt;</w:t>
      </w:r>
      <w:r>
        <w:rPr>
          <w:lang w:val="en-GB"/>
        </w:rPr>
        <w:t xml:space="preserve"> PERQ9 </w:t>
      </w:r>
      <w:r>
        <w:rPr>
          <w:lang w:val="tr-TR"/>
        </w:rPr>
        <w:t>&gt;</w:t>
      </w:r>
      <w:r>
        <w:rPr>
          <w:lang w:val="en-GB"/>
        </w:rPr>
        <w:t xml:space="preserve"> PERQ1 </w:t>
      </w:r>
      <w:r>
        <w:rPr>
          <w:lang w:val="tr-TR"/>
        </w:rPr>
        <w:t>&gt;</w:t>
      </w:r>
      <w:r>
        <w:rPr>
          <w:lang w:val="en-GB"/>
        </w:rPr>
        <w:t xml:space="preserve"> PERQ10 </w:t>
      </w:r>
      <w:r>
        <w:rPr>
          <w:lang w:val="tr-TR"/>
        </w:rPr>
        <w:t>&gt;</w:t>
      </w:r>
      <w:r>
        <w:rPr>
          <w:lang w:val="en-GB"/>
        </w:rPr>
        <w:t xml:space="preserve"> PERQ11 </w:t>
      </w:r>
      <w:r>
        <w:rPr>
          <w:lang w:val="tr-TR"/>
        </w:rPr>
        <w:t>&gt;</w:t>
      </w:r>
      <w:r>
        <w:rPr>
          <w:lang w:val="en-GB"/>
        </w:rPr>
        <w:t xml:space="preserve"> PERQ6 </w:t>
      </w:r>
      <w:r>
        <w:rPr>
          <w:lang w:val="tr-TR"/>
        </w:rPr>
        <w:t>&gt;</w:t>
      </w:r>
      <w:r>
        <w:rPr>
          <w:lang w:val="en-GB"/>
        </w:rPr>
        <w:t xml:space="preserve"> PERQ2 </w:t>
      </w:r>
      <w:r>
        <w:rPr>
          <w:lang w:val="tr-TR"/>
        </w:rPr>
        <w:t>&gt;</w:t>
      </w:r>
      <w:r>
        <w:rPr>
          <w:lang w:val="en-GB"/>
        </w:rPr>
        <w:t xml:space="preserve"> PERQ7 </w:t>
      </w:r>
      <w:r>
        <w:rPr>
          <w:lang w:val="tr-TR"/>
        </w:rPr>
        <w:t>&gt;</w:t>
      </w:r>
      <w:r>
        <w:rPr>
          <w:lang w:val="en-GB"/>
        </w:rPr>
        <w:t xml:space="preserve"> PERQ4 </w:t>
      </w:r>
      <w:r>
        <w:rPr>
          <w:lang w:val="tr-TR"/>
        </w:rPr>
        <w:t>&gt;</w:t>
      </w:r>
      <w:r>
        <w:rPr>
          <w:lang w:val="en-GB"/>
        </w:rPr>
        <w:t xml:space="preserve"> PERQ3 </w:t>
      </w:r>
      <w:r>
        <w:rPr>
          <w:lang w:val="tr-TR"/>
        </w:rPr>
        <w:t>&gt;</w:t>
      </w:r>
      <w:r>
        <w:rPr>
          <w:lang w:val="en-GB"/>
        </w:rPr>
        <w:t xml:space="preserve"> PERQ8 </w:t>
      </w:r>
      <w:r>
        <w:rPr>
          <w:lang w:val="tr-TR"/>
        </w:rPr>
        <w:t>&gt;</w:t>
      </w:r>
      <w:r>
        <w:rPr>
          <w:lang w:val="en-GB"/>
        </w:rPr>
        <w:t xml:space="preserve"> PERQ5. </w:t>
      </w:r>
    </w:p>
    <w:tbl>
      <w:tblPr>
        <w:tblStyle w:val="TabloKlavuzu"/>
        <w:tblW w:w="777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776"/>
      </w:tblGrid>
      <w:tr>
        <w:trPr>
          <w:trHeight w:val="3094" w:hRule="atLeast"/>
        </w:trPr>
        <w:tc>
          <w:tcPr>
            <w:tcW w:w="7776" w:type="dxa"/>
            <w:tcBorders>
              <w:top w:val="nil"/>
              <w:left w:val="nil"/>
              <w:bottom w:val="nil"/>
              <w:right w:val="nil"/>
            </w:tcBorders>
          </w:tcPr>
          <w:p>
            <w:pPr>
              <w:pStyle w:val="Default"/>
              <w:widowControl/>
              <w:spacing w:before="0" w:after="0"/>
              <w:jc w:val="both"/>
              <w:rPr>
                <w:rFonts w:eastAsia="Calibri"/>
                <w:kern w:val="0"/>
                <w:lang w:val="en-GB" w:eastAsia="en-US" w:bidi="ar-SA"/>
              </w:rPr>
            </w:pPr>
            <w:r>
              <w:rPr>
                <w:rFonts w:eastAsia="Calibri"/>
                <w:kern w:val="0"/>
                <w:lang w:val="en-GB" w:eastAsia="en-US" w:bidi="ar-SA"/>
              </w:rPr>
              <w:t>a)</w:t>
            </w:r>
          </w:p>
          <w:p>
            <w:pPr>
              <w:pStyle w:val="Default"/>
              <w:widowControl/>
              <w:spacing w:before="0" w:after="0"/>
              <w:jc w:val="center"/>
              <w:rPr>
                <w:rFonts w:eastAsia="Calibri"/>
                <w:kern w:val="0"/>
                <w:lang w:val="en-GB" w:eastAsia="en-US" w:bidi="ar-SA"/>
              </w:rPr>
            </w:pPr>
            <w:r>
              <w:rPr>
                <w:rFonts w:eastAsia="Calibri"/>
                <w:kern w:val="0"/>
                <w:lang w:val="en-GB" w:eastAsia="en-US" w:bidi="ar-SA"/>
              </w:rPr>
              <w:drawing>
                <wp:inline distT="0" distB="0" distL="0" distR="0">
                  <wp:extent cx="4796790" cy="292608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4796790" cy="2926080"/>
                          </a:xfrm>
                          <a:prstGeom prst="rect">
                            <a:avLst/>
                          </a:prstGeom>
                        </pic:spPr>
                      </pic:pic>
                    </a:graphicData>
                  </a:graphic>
                </wp:inline>
              </w:drawing>
            </w:r>
          </w:p>
        </w:tc>
      </w:tr>
      <w:tr>
        <w:trPr>
          <w:trHeight w:val="3642" w:hRule="atLeast"/>
        </w:trPr>
        <w:tc>
          <w:tcPr>
            <w:tcW w:w="7776" w:type="dxa"/>
            <w:tcBorders>
              <w:top w:val="nil"/>
              <w:left w:val="nil"/>
              <w:bottom w:val="nil"/>
              <w:right w:val="nil"/>
            </w:tcBorders>
          </w:tcPr>
          <w:p>
            <w:pPr>
              <w:pStyle w:val="Default"/>
              <w:widowControl/>
              <w:spacing w:before="0" w:after="0"/>
              <w:jc w:val="both"/>
              <w:rPr>
                <w:rFonts w:eastAsia="Calibri"/>
                <w:kern w:val="0"/>
                <w:lang w:val="en-GB" w:eastAsia="en-US" w:bidi="ar-SA"/>
              </w:rPr>
            </w:pPr>
            <w:r>
              <w:rPr>
                <w:rFonts w:eastAsia="Calibri"/>
                <w:kern w:val="0"/>
                <w:lang w:val="en-GB" w:eastAsia="en-US" w:bidi="ar-SA"/>
              </w:rPr>
              <w:t>b)</w:t>
            </w:r>
          </w:p>
          <w:p>
            <w:pPr>
              <w:pStyle w:val="Default"/>
              <w:widowControl/>
              <w:spacing w:before="0" w:after="0"/>
              <w:jc w:val="both"/>
              <w:rPr>
                <w:b/>
                <w:b/>
              </w:rPr>
            </w:pPr>
            <w:r>
              <w:rPr>
                <w:rFonts w:eastAsia="Calibri"/>
                <w:kern w:val="0"/>
                <w:lang w:val="en-GB" w:eastAsia="en-US" w:bidi="ar-SA"/>
              </w:rPr>
              <w:drawing>
                <wp:inline distT="0" distB="0" distL="0" distR="0">
                  <wp:extent cx="4794885" cy="2750820"/>
                  <wp:effectExtent l="0" t="0" r="0" b="0"/>
                  <wp:docPr id="2"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
                          <pic:cNvPicPr>
                            <a:picLocks noChangeAspect="1" noChangeArrowheads="1"/>
                          </pic:cNvPicPr>
                        </pic:nvPicPr>
                        <pic:blipFill>
                          <a:blip r:embed="rId3"/>
                          <a:stretch>
                            <a:fillRect/>
                          </a:stretch>
                        </pic:blipFill>
                        <pic:spPr bwMode="auto">
                          <a:xfrm>
                            <a:off x="0" y="0"/>
                            <a:ext cx="4794885" cy="2750820"/>
                          </a:xfrm>
                          <a:prstGeom prst="rect">
                            <a:avLst/>
                          </a:prstGeom>
                        </pic:spPr>
                      </pic:pic>
                    </a:graphicData>
                  </a:graphic>
                </wp:inline>
              </w:drawing>
            </w:r>
          </w:p>
        </w:tc>
      </w:tr>
    </w:tbl>
    <w:p>
      <w:pPr>
        <w:pStyle w:val="Default"/>
        <w:jc w:val="center"/>
        <w:rPr/>
      </w:pPr>
      <w:r>
        <w:rPr>
          <w:b/>
        </w:rPr>
        <w:t xml:space="preserve">Fig. 1. </w:t>
      </w:r>
      <w:r>
        <w:rPr/>
        <w:t>Comparison of major (a) and minor (b) oxides averages with the Earth's crust average</w:t>
      </w:r>
    </w:p>
    <w:p>
      <w:pPr>
        <w:pStyle w:val="Default"/>
        <w:spacing w:lineRule="auto" w:line="480"/>
        <w:jc w:val="both"/>
        <w:rPr>
          <w:b/>
          <w:b/>
        </w:rPr>
      </w:pPr>
      <w:r>
        <w:rPr>
          <w:b/>
        </w:rPr>
      </w:r>
    </w:p>
    <w:p>
      <w:pPr>
        <w:pStyle w:val="Heading2"/>
        <w:spacing w:before="0" w:after="240"/>
        <w:jc w:val="left"/>
        <w:rPr>
          <w:shd w:fill="FFFFFF" w:val="clear"/>
        </w:rPr>
      </w:pPr>
      <w:r>
        <w:rPr>
          <w:shd w:fill="FFFFFF" w:val="clear"/>
        </w:rPr>
        <w:t xml:space="preserve">Table 5. </w:t>
      </w:r>
      <w:r>
        <w:rPr>
          <w:b w:val="false"/>
          <w:shd w:fill="FFFFFF" w:val="clear"/>
        </w:rPr>
        <w:t>C</w:t>
      </w:r>
      <w:r>
        <w:rPr>
          <w:b w:val="false"/>
        </w:rPr>
        <w:t xml:space="preserve">oncentrations of major and minor oxides in perlite quarries </w:t>
      </w:r>
    </w:p>
    <w:tbl>
      <w:tblPr>
        <w:tblW w:w="9100"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990"/>
        <w:gridCol w:w="951"/>
        <w:gridCol w:w="759"/>
        <w:gridCol w:w="676"/>
        <w:gridCol w:w="859"/>
        <w:gridCol w:w="716"/>
        <w:gridCol w:w="725"/>
        <w:gridCol w:w="623"/>
        <w:gridCol w:w="591"/>
        <w:gridCol w:w="675"/>
        <w:gridCol w:w="675"/>
        <w:gridCol w:w="859"/>
      </w:tblGrid>
      <w:tr>
        <w:trPr>
          <w:trHeight w:val="315" w:hRule="atLeast"/>
        </w:trPr>
        <w:tc>
          <w:tcPr>
            <w:tcW w:w="990" w:type="dxa"/>
            <w:vMerge w:val="restart"/>
            <w:tcBorders>
              <w:top w:val="single" w:sz="4" w:space="0" w:color="000000"/>
              <w:bottom w:val="single" w:sz="4" w:space="0" w:color="000000"/>
            </w:tcBorders>
            <w:shd w:color="auto" w:fill="auto" w:val="clear"/>
          </w:tcPr>
          <w:p>
            <w:pPr>
              <w:pStyle w:val="Normal"/>
              <w:widowControl w:val="false"/>
              <w:spacing w:before="0" w:after="60"/>
              <w:rPr>
                <w:color w:val="000000"/>
              </w:rPr>
            </w:pPr>
            <w:r>
              <w:rPr>
                <w:color w:val="000000"/>
              </w:rPr>
              <w:t>Sample code</w:t>
            </w:r>
          </w:p>
        </w:tc>
        <w:tc>
          <w:tcPr>
            <w:tcW w:w="951" w:type="dxa"/>
            <w:vMerge w:val="restart"/>
            <w:tcBorders>
              <w:top w:val="single" w:sz="4" w:space="0" w:color="000000"/>
              <w:bottom w:val="single" w:sz="4" w:space="0" w:color="000000"/>
            </w:tcBorders>
            <w:shd w:color="auto" w:fill="auto" w:val="clear"/>
            <w:vAlign w:val="bottom"/>
          </w:tcPr>
          <w:p>
            <w:pPr>
              <w:pStyle w:val="Normal"/>
              <w:widowControl w:val="false"/>
              <w:spacing w:before="0" w:after="60"/>
              <w:jc w:val="center"/>
              <w:rPr>
                <w:rFonts w:ascii="Calibri" w:hAnsi="Calibri" w:cs="Calibri"/>
                <w:color w:val="000000"/>
                <w:sz w:val="22"/>
                <w:szCs w:val="22"/>
              </w:rPr>
            </w:pPr>
            <w:r>
              <w:rPr/>
            </w:r>
          </w:p>
        </w:tc>
        <w:tc>
          <w:tcPr>
            <w:tcW w:w="7158" w:type="dxa"/>
            <w:gridSpan w:val="10"/>
            <w:tcBorders>
              <w:top w:val="single" w:sz="4" w:space="0" w:color="000000"/>
              <w:bottom w:val="single" w:sz="4" w:space="0" w:color="000000"/>
            </w:tcBorders>
            <w:shd w:color="auto" w:fill="auto" w:val="clear"/>
            <w:vAlign w:val="bottom"/>
          </w:tcPr>
          <w:p>
            <w:pPr>
              <w:pStyle w:val="Normal"/>
              <w:widowControl w:val="false"/>
              <w:spacing w:before="0" w:after="60"/>
              <w:jc w:val="center"/>
              <w:rPr>
                <w:color w:val="000000"/>
              </w:rPr>
            </w:pPr>
            <w:r>
              <w:rPr>
                <w:color w:val="000000"/>
              </w:rPr>
              <w:t>Concentration of oxides (%)</w:t>
            </w:r>
          </w:p>
        </w:tc>
      </w:tr>
      <w:tr>
        <w:trPr>
          <w:trHeight w:val="315" w:hRule="atLeast"/>
        </w:trPr>
        <w:tc>
          <w:tcPr>
            <w:tcW w:w="990" w:type="dxa"/>
            <w:vMerge w:val="continue"/>
            <w:tcBorders>
              <w:top w:val="single" w:sz="4" w:space="0" w:color="000000"/>
              <w:bottom w:val="single" w:sz="4" w:space="0" w:color="000000"/>
            </w:tcBorders>
            <w:vAlign w:val="center"/>
          </w:tcPr>
          <w:p>
            <w:pPr>
              <w:pStyle w:val="Normal"/>
              <w:widowControl w:val="false"/>
              <w:spacing w:before="0" w:after="60"/>
              <w:rPr>
                <w:color w:val="000000"/>
              </w:rPr>
            </w:pPr>
            <w:r>
              <w:rPr>
                <w:color w:val="000000"/>
              </w:rPr>
            </w:r>
          </w:p>
        </w:tc>
        <w:tc>
          <w:tcPr>
            <w:tcW w:w="951" w:type="dxa"/>
            <w:vMerge w:val="continue"/>
            <w:tcBorders>
              <w:top w:val="single" w:sz="4" w:space="0" w:color="000000"/>
              <w:bottom w:val="single" w:sz="4" w:space="0" w:color="000000"/>
            </w:tcBorders>
            <w:vAlign w:val="center"/>
          </w:tcPr>
          <w:p>
            <w:pPr>
              <w:pStyle w:val="Normal"/>
              <w:widowControl w:val="false"/>
              <w:spacing w:before="0" w:after="60"/>
              <w:rPr>
                <w:rFonts w:ascii="Calibri" w:hAnsi="Calibri" w:cs="Calibri"/>
                <w:color w:val="000000"/>
                <w:sz w:val="22"/>
                <w:szCs w:val="22"/>
              </w:rPr>
            </w:pPr>
            <w:r>
              <w:rPr>
                <w:rFonts w:cs="Calibri" w:ascii="Calibri" w:hAnsi="Calibri"/>
                <w:color w:val="000000"/>
                <w:sz w:val="22"/>
                <w:szCs w:val="22"/>
              </w:rPr>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Na</w:t>
            </w:r>
            <w:r>
              <w:rPr>
                <w:color w:val="000000"/>
                <w:vertAlign w:val="subscript"/>
              </w:rPr>
              <w:t>2</w:t>
            </w:r>
            <w:r>
              <w:rPr>
                <w:color w:val="000000"/>
              </w:rPr>
              <w:t>O</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MgO</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Al</w:t>
            </w:r>
            <w:r>
              <w:rPr>
                <w:color w:val="000000"/>
                <w:vertAlign w:val="subscript"/>
              </w:rPr>
              <w:t>2</w:t>
            </w:r>
            <w:r>
              <w:rPr>
                <w:color w:val="000000"/>
              </w:rPr>
              <w:t>O</w:t>
            </w:r>
            <w:r>
              <w:rPr>
                <w:color w:val="000000"/>
                <w:vertAlign w:val="subscript"/>
              </w:rPr>
              <w:t>3</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SiO</w:t>
            </w:r>
            <w:r>
              <w:rPr>
                <w:color w:val="000000"/>
                <w:vertAlign w:val="subscript"/>
              </w:rPr>
              <w:t>2</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P</w:t>
            </w:r>
            <w:r>
              <w:rPr>
                <w:color w:val="000000"/>
                <w:vertAlign w:val="subscript"/>
              </w:rPr>
              <w:t>2</w:t>
            </w:r>
            <w:r>
              <w:rPr>
                <w:color w:val="000000"/>
              </w:rPr>
              <w:t>O</w:t>
            </w:r>
            <w:r>
              <w:rPr>
                <w:color w:val="000000"/>
                <w:vertAlign w:val="subscript"/>
              </w:rPr>
              <w:t>5</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K</w:t>
            </w:r>
            <w:r>
              <w:rPr>
                <w:color w:val="000000"/>
                <w:vertAlign w:val="subscript"/>
              </w:rPr>
              <w:t>2</w:t>
            </w:r>
            <w:r>
              <w:rPr>
                <w:color w:val="000000"/>
              </w:rPr>
              <w:t>O</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CaO</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TiO</w:t>
            </w:r>
            <w:r>
              <w:rPr>
                <w:color w:val="000000"/>
                <w:vertAlign w:val="subscript"/>
              </w:rPr>
              <w:t>2</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MnO</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Fe</w:t>
            </w:r>
            <w:r>
              <w:rPr>
                <w:color w:val="000000"/>
                <w:vertAlign w:val="subscript"/>
              </w:rPr>
              <w:t>2</w:t>
            </w:r>
            <w:r>
              <w:rPr>
                <w:color w:val="000000"/>
              </w:rPr>
              <w:t>O</w:t>
            </w:r>
            <w:r>
              <w:rPr>
                <w:color w:val="000000"/>
                <w:vertAlign w:val="subscript"/>
              </w:rPr>
              <w:t>3</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PERQ1</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4.74</w:t>
            </w:r>
          </w:p>
        </w:tc>
        <w:tc>
          <w:tcPr>
            <w:tcW w:w="676" w:type="dxa"/>
            <w:tcBorders/>
            <w:shd w:color="auto" w:fill="auto" w:val="clear"/>
            <w:vAlign w:val="center"/>
          </w:tcPr>
          <w:p>
            <w:pPr>
              <w:pStyle w:val="Normal"/>
              <w:widowControl w:val="false"/>
              <w:spacing w:before="0" w:after="60"/>
              <w:jc w:val="center"/>
              <w:rPr>
                <w:color w:val="000000"/>
              </w:rPr>
            </w:pPr>
            <w:r>
              <w:rPr>
                <w:color w:val="000000"/>
              </w:rPr>
              <w:t>0.42</w:t>
            </w:r>
          </w:p>
        </w:tc>
        <w:tc>
          <w:tcPr>
            <w:tcW w:w="859" w:type="dxa"/>
            <w:tcBorders/>
            <w:shd w:color="auto" w:fill="auto" w:val="clear"/>
            <w:vAlign w:val="center"/>
          </w:tcPr>
          <w:p>
            <w:pPr>
              <w:pStyle w:val="Normal"/>
              <w:widowControl w:val="false"/>
              <w:spacing w:before="0" w:after="60"/>
              <w:jc w:val="center"/>
              <w:rPr>
                <w:color w:val="000000"/>
              </w:rPr>
            </w:pPr>
            <w:r>
              <w:rPr>
                <w:color w:val="000000"/>
              </w:rPr>
              <w:t>16.18</w:t>
            </w:r>
          </w:p>
        </w:tc>
        <w:tc>
          <w:tcPr>
            <w:tcW w:w="716" w:type="dxa"/>
            <w:tcBorders/>
            <w:shd w:color="auto" w:fill="auto" w:val="clear"/>
            <w:vAlign w:val="center"/>
          </w:tcPr>
          <w:p>
            <w:pPr>
              <w:pStyle w:val="Normal"/>
              <w:widowControl w:val="false"/>
              <w:spacing w:before="0" w:after="60"/>
              <w:jc w:val="center"/>
              <w:rPr>
                <w:color w:val="000000"/>
              </w:rPr>
            </w:pPr>
            <w:r>
              <w:rPr>
                <w:color w:val="000000"/>
              </w:rPr>
              <w:t>76.09</w:t>
            </w:r>
          </w:p>
        </w:tc>
        <w:tc>
          <w:tcPr>
            <w:tcW w:w="725" w:type="dxa"/>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shd w:color="auto" w:fill="auto" w:val="clear"/>
            <w:vAlign w:val="center"/>
          </w:tcPr>
          <w:p>
            <w:pPr>
              <w:pStyle w:val="Normal"/>
              <w:widowControl w:val="false"/>
              <w:spacing w:before="0" w:after="60"/>
              <w:jc w:val="center"/>
              <w:rPr>
                <w:color w:val="000000"/>
              </w:rPr>
            </w:pPr>
            <w:r>
              <w:rPr>
                <w:color w:val="000000"/>
              </w:rPr>
              <w:t>4.01</w:t>
            </w:r>
          </w:p>
        </w:tc>
        <w:tc>
          <w:tcPr>
            <w:tcW w:w="591" w:type="dxa"/>
            <w:tcBorders/>
            <w:shd w:color="auto" w:fill="auto" w:val="clear"/>
            <w:vAlign w:val="center"/>
          </w:tcPr>
          <w:p>
            <w:pPr>
              <w:pStyle w:val="Normal"/>
              <w:widowControl w:val="false"/>
              <w:spacing w:before="0" w:after="60"/>
              <w:jc w:val="center"/>
              <w:rPr>
                <w:color w:val="000000"/>
              </w:rPr>
            </w:pPr>
            <w:r>
              <w:rPr>
                <w:color w:val="000000"/>
              </w:rPr>
              <w:t>0.36</w:t>
            </w:r>
          </w:p>
        </w:tc>
        <w:tc>
          <w:tcPr>
            <w:tcW w:w="675" w:type="dxa"/>
            <w:tcBorders/>
            <w:shd w:color="auto" w:fill="auto" w:val="clear"/>
            <w:vAlign w:val="center"/>
          </w:tcPr>
          <w:p>
            <w:pPr>
              <w:pStyle w:val="Normal"/>
              <w:widowControl w:val="false"/>
              <w:spacing w:before="0" w:after="60"/>
              <w:jc w:val="center"/>
              <w:rPr>
                <w:color w:val="000000"/>
              </w:rPr>
            </w:pPr>
            <w:r>
              <w:rPr>
                <w:color w:val="000000"/>
              </w:rPr>
              <w:t>0.08</w:t>
            </w:r>
          </w:p>
        </w:tc>
        <w:tc>
          <w:tcPr>
            <w:tcW w:w="675" w:type="dxa"/>
            <w:tcBorders/>
            <w:shd w:color="auto" w:fill="auto" w:val="clear"/>
            <w:vAlign w:val="center"/>
          </w:tcPr>
          <w:p>
            <w:pPr>
              <w:pStyle w:val="Normal"/>
              <w:widowControl w:val="false"/>
              <w:spacing w:before="0" w:after="60"/>
              <w:jc w:val="center"/>
              <w:rPr>
                <w:color w:val="000000"/>
              </w:rPr>
            </w:pPr>
            <w:r>
              <w:rPr>
                <w:color w:val="000000"/>
              </w:rPr>
              <w:t>0.04</w:t>
            </w:r>
          </w:p>
        </w:tc>
        <w:tc>
          <w:tcPr>
            <w:tcW w:w="859" w:type="dxa"/>
            <w:tcBorders/>
            <w:shd w:color="auto" w:fill="auto" w:val="clear"/>
            <w:vAlign w:val="center"/>
          </w:tcPr>
          <w:p>
            <w:pPr>
              <w:pStyle w:val="Normal"/>
              <w:widowControl w:val="false"/>
              <w:spacing w:before="0" w:after="60"/>
              <w:jc w:val="center"/>
              <w:rPr>
                <w:color w:val="000000"/>
              </w:rPr>
            </w:pPr>
            <w:r>
              <w:rPr>
                <w:color w:val="000000"/>
              </w:rPr>
              <w:t>0.95</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4.50</w:t>
            </w:r>
          </w:p>
        </w:tc>
        <w:tc>
          <w:tcPr>
            <w:tcW w:w="676" w:type="dxa"/>
            <w:tcBorders/>
            <w:shd w:color="auto" w:fill="auto" w:val="clear"/>
            <w:vAlign w:val="center"/>
          </w:tcPr>
          <w:p>
            <w:pPr>
              <w:pStyle w:val="Normal"/>
              <w:widowControl w:val="false"/>
              <w:spacing w:before="0" w:after="60"/>
              <w:jc w:val="center"/>
              <w:rPr>
                <w:color w:val="000000"/>
              </w:rPr>
            </w:pPr>
            <w:r>
              <w:rPr>
                <w:color w:val="000000"/>
              </w:rPr>
              <w:t>0.41</w:t>
            </w:r>
          </w:p>
        </w:tc>
        <w:tc>
          <w:tcPr>
            <w:tcW w:w="859" w:type="dxa"/>
            <w:tcBorders/>
            <w:shd w:color="auto" w:fill="auto" w:val="clear"/>
            <w:vAlign w:val="center"/>
          </w:tcPr>
          <w:p>
            <w:pPr>
              <w:pStyle w:val="Normal"/>
              <w:widowControl w:val="false"/>
              <w:spacing w:before="0" w:after="60"/>
              <w:jc w:val="center"/>
              <w:rPr>
                <w:color w:val="000000"/>
              </w:rPr>
            </w:pPr>
            <w:r>
              <w:rPr>
                <w:color w:val="000000"/>
              </w:rPr>
              <w:t>15.92</w:t>
            </w:r>
          </w:p>
        </w:tc>
        <w:tc>
          <w:tcPr>
            <w:tcW w:w="716" w:type="dxa"/>
            <w:tcBorders/>
            <w:shd w:color="auto" w:fill="auto" w:val="clear"/>
            <w:vAlign w:val="center"/>
          </w:tcPr>
          <w:p>
            <w:pPr>
              <w:pStyle w:val="Normal"/>
              <w:widowControl w:val="false"/>
              <w:spacing w:before="0" w:after="60"/>
              <w:jc w:val="center"/>
              <w:rPr>
                <w:color w:val="000000"/>
              </w:rPr>
            </w:pPr>
            <w:r>
              <w:rPr>
                <w:color w:val="000000"/>
              </w:rPr>
              <w:t>75.97</w:t>
            </w:r>
          </w:p>
        </w:tc>
        <w:tc>
          <w:tcPr>
            <w:tcW w:w="725" w:type="dxa"/>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shd w:color="auto" w:fill="auto" w:val="clear"/>
            <w:vAlign w:val="center"/>
          </w:tcPr>
          <w:p>
            <w:pPr>
              <w:pStyle w:val="Normal"/>
              <w:widowControl w:val="false"/>
              <w:spacing w:before="0" w:after="60"/>
              <w:jc w:val="center"/>
              <w:rPr>
                <w:color w:val="000000"/>
              </w:rPr>
            </w:pPr>
            <w:r>
              <w:rPr>
                <w:color w:val="000000"/>
              </w:rPr>
              <w:t>3.62</w:t>
            </w:r>
          </w:p>
        </w:tc>
        <w:tc>
          <w:tcPr>
            <w:tcW w:w="591" w:type="dxa"/>
            <w:tcBorders/>
            <w:shd w:color="auto" w:fill="auto" w:val="clear"/>
            <w:vAlign w:val="center"/>
          </w:tcPr>
          <w:p>
            <w:pPr>
              <w:pStyle w:val="Normal"/>
              <w:widowControl w:val="false"/>
              <w:spacing w:before="0" w:after="60"/>
              <w:jc w:val="center"/>
              <w:rPr>
                <w:color w:val="000000"/>
              </w:rPr>
            </w:pPr>
            <w:r>
              <w:rPr>
                <w:color w:val="000000"/>
              </w:rPr>
              <w:t>0.29</w:t>
            </w:r>
          </w:p>
        </w:tc>
        <w:tc>
          <w:tcPr>
            <w:tcW w:w="675" w:type="dxa"/>
            <w:tcBorders/>
            <w:shd w:color="auto" w:fill="auto" w:val="clear"/>
            <w:vAlign w:val="center"/>
          </w:tcPr>
          <w:p>
            <w:pPr>
              <w:pStyle w:val="Normal"/>
              <w:widowControl w:val="false"/>
              <w:spacing w:before="0" w:after="60"/>
              <w:jc w:val="center"/>
              <w:rPr>
                <w:color w:val="000000"/>
              </w:rPr>
            </w:pPr>
            <w:r>
              <w:rPr>
                <w:color w:val="000000"/>
              </w:rPr>
              <w:t>0.07</w:t>
            </w:r>
          </w:p>
        </w:tc>
        <w:tc>
          <w:tcPr>
            <w:tcW w:w="675" w:type="dxa"/>
            <w:tcBorders/>
            <w:shd w:color="auto" w:fill="auto" w:val="clear"/>
            <w:vAlign w:val="center"/>
          </w:tcPr>
          <w:p>
            <w:pPr>
              <w:pStyle w:val="Normal"/>
              <w:widowControl w:val="false"/>
              <w:spacing w:before="0" w:after="60"/>
              <w:jc w:val="center"/>
              <w:rPr>
                <w:color w:val="000000"/>
              </w:rPr>
            </w:pPr>
            <w:r>
              <w:rPr>
                <w:color w:val="000000"/>
              </w:rPr>
              <w:t>0.03</w:t>
            </w:r>
          </w:p>
        </w:tc>
        <w:tc>
          <w:tcPr>
            <w:tcW w:w="859" w:type="dxa"/>
            <w:tcBorders/>
            <w:shd w:color="auto" w:fill="auto" w:val="clear"/>
            <w:vAlign w:val="center"/>
          </w:tcPr>
          <w:p>
            <w:pPr>
              <w:pStyle w:val="Normal"/>
              <w:widowControl w:val="false"/>
              <w:spacing w:before="0" w:after="60"/>
              <w:jc w:val="center"/>
              <w:rPr>
                <w:color w:val="000000"/>
              </w:rPr>
            </w:pPr>
            <w:r>
              <w:rPr>
                <w:color w:val="000000"/>
              </w:rPr>
              <w:t>0.82</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5.07</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0.44</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16.60</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76.26</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4.27</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0.41</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0.09</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0.04</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1.02</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PERQ2</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7.70</w:t>
            </w:r>
          </w:p>
        </w:tc>
        <w:tc>
          <w:tcPr>
            <w:tcW w:w="676" w:type="dxa"/>
            <w:tcBorders/>
            <w:shd w:color="auto" w:fill="auto" w:val="clear"/>
            <w:vAlign w:val="center"/>
          </w:tcPr>
          <w:p>
            <w:pPr>
              <w:pStyle w:val="Normal"/>
              <w:widowControl w:val="false"/>
              <w:spacing w:before="0" w:after="60"/>
              <w:jc w:val="center"/>
              <w:rPr>
                <w:color w:val="000000"/>
              </w:rPr>
            </w:pPr>
            <w:r>
              <w:rPr>
                <w:color w:val="000000"/>
              </w:rPr>
              <w:t>0.15</w:t>
            </w:r>
          </w:p>
        </w:tc>
        <w:tc>
          <w:tcPr>
            <w:tcW w:w="859" w:type="dxa"/>
            <w:tcBorders/>
            <w:shd w:color="auto" w:fill="auto" w:val="clear"/>
            <w:vAlign w:val="center"/>
          </w:tcPr>
          <w:p>
            <w:pPr>
              <w:pStyle w:val="Normal"/>
              <w:widowControl w:val="false"/>
              <w:spacing w:before="0" w:after="60"/>
              <w:jc w:val="center"/>
              <w:rPr>
                <w:color w:val="000000"/>
              </w:rPr>
            </w:pPr>
            <w:r>
              <w:rPr>
                <w:color w:val="000000"/>
              </w:rPr>
              <w:t>15.29</w:t>
            </w:r>
          </w:p>
        </w:tc>
        <w:tc>
          <w:tcPr>
            <w:tcW w:w="716" w:type="dxa"/>
            <w:tcBorders/>
            <w:shd w:color="auto" w:fill="auto" w:val="clear"/>
            <w:vAlign w:val="center"/>
          </w:tcPr>
          <w:p>
            <w:pPr>
              <w:pStyle w:val="Normal"/>
              <w:widowControl w:val="false"/>
              <w:spacing w:before="0" w:after="60"/>
              <w:jc w:val="center"/>
              <w:rPr>
                <w:color w:val="000000"/>
              </w:rPr>
            </w:pPr>
            <w:r>
              <w:rPr>
                <w:color w:val="000000"/>
              </w:rPr>
              <w:t>74.48</w:t>
            </w:r>
          </w:p>
        </w:tc>
        <w:tc>
          <w:tcPr>
            <w:tcW w:w="725" w:type="dxa"/>
            <w:tcBorders/>
            <w:shd w:color="auto" w:fill="auto" w:val="clear"/>
            <w:vAlign w:val="center"/>
          </w:tcPr>
          <w:p>
            <w:pPr>
              <w:pStyle w:val="Normal"/>
              <w:widowControl w:val="false"/>
              <w:spacing w:before="0" w:after="60"/>
              <w:jc w:val="center"/>
              <w:rPr>
                <w:color w:val="000000"/>
              </w:rPr>
            </w:pPr>
            <w:r>
              <w:rPr>
                <w:color w:val="000000"/>
              </w:rPr>
              <w:t>0.01</w:t>
            </w:r>
          </w:p>
        </w:tc>
        <w:tc>
          <w:tcPr>
            <w:tcW w:w="623" w:type="dxa"/>
            <w:tcBorders/>
            <w:shd w:color="auto" w:fill="auto" w:val="clear"/>
            <w:vAlign w:val="center"/>
          </w:tcPr>
          <w:p>
            <w:pPr>
              <w:pStyle w:val="Normal"/>
              <w:widowControl w:val="false"/>
              <w:spacing w:before="0" w:after="60"/>
              <w:jc w:val="center"/>
              <w:rPr>
                <w:color w:val="000000"/>
              </w:rPr>
            </w:pPr>
            <w:r>
              <w:rPr>
                <w:color w:val="000000"/>
              </w:rPr>
              <w:t>3.49</w:t>
            </w:r>
          </w:p>
        </w:tc>
        <w:tc>
          <w:tcPr>
            <w:tcW w:w="591" w:type="dxa"/>
            <w:tcBorders/>
            <w:shd w:color="auto" w:fill="auto" w:val="clear"/>
            <w:vAlign w:val="center"/>
          </w:tcPr>
          <w:p>
            <w:pPr>
              <w:pStyle w:val="Normal"/>
              <w:widowControl w:val="false"/>
              <w:spacing w:before="0" w:after="60"/>
              <w:jc w:val="center"/>
              <w:rPr>
                <w:color w:val="000000"/>
              </w:rPr>
            </w:pPr>
            <w:r>
              <w:rPr>
                <w:color w:val="000000"/>
              </w:rPr>
              <w:t>0.68</w:t>
            </w:r>
          </w:p>
        </w:tc>
        <w:tc>
          <w:tcPr>
            <w:tcW w:w="675" w:type="dxa"/>
            <w:tcBorders/>
            <w:shd w:color="auto" w:fill="auto" w:val="clear"/>
            <w:vAlign w:val="center"/>
          </w:tcPr>
          <w:p>
            <w:pPr>
              <w:pStyle w:val="Normal"/>
              <w:widowControl w:val="false"/>
              <w:spacing w:before="0" w:after="60"/>
              <w:jc w:val="center"/>
              <w:rPr>
                <w:color w:val="000000"/>
              </w:rPr>
            </w:pPr>
            <w:r>
              <w:rPr>
                <w:color w:val="000000"/>
              </w:rPr>
              <w:t>0.02</w:t>
            </w:r>
          </w:p>
        </w:tc>
        <w:tc>
          <w:tcPr>
            <w:tcW w:w="675" w:type="dxa"/>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shd w:color="auto" w:fill="auto" w:val="clear"/>
            <w:vAlign w:val="center"/>
          </w:tcPr>
          <w:p>
            <w:pPr>
              <w:pStyle w:val="Normal"/>
              <w:widowControl w:val="false"/>
              <w:spacing w:before="0" w:after="60"/>
              <w:jc w:val="center"/>
              <w:rPr>
                <w:color w:val="000000"/>
              </w:rPr>
            </w:pPr>
            <w:r>
              <w:rPr>
                <w:color w:val="000000"/>
              </w:rPr>
              <w:t>1.01</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7.41</w:t>
            </w:r>
          </w:p>
        </w:tc>
        <w:tc>
          <w:tcPr>
            <w:tcW w:w="676" w:type="dxa"/>
            <w:tcBorders/>
            <w:shd w:color="auto" w:fill="auto" w:val="clear"/>
            <w:vAlign w:val="center"/>
          </w:tcPr>
          <w:p>
            <w:pPr>
              <w:pStyle w:val="Normal"/>
              <w:widowControl w:val="false"/>
              <w:spacing w:before="0" w:after="60"/>
              <w:jc w:val="center"/>
              <w:rPr>
                <w:color w:val="000000"/>
              </w:rPr>
            </w:pPr>
            <w:r>
              <w:rPr>
                <w:color w:val="000000"/>
              </w:rPr>
              <w:t>0.14</w:t>
            </w:r>
          </w:p>
        </w:tc>
        <w:tc>
          <w:tcPr>
            <w:tcW w:w="859" w:type="dxa"/>
            <w:tcBorders/>
            <w:shd w:color="auto" w:fill="auto" w:val="clear"/>
            <w:vAlign w:val="center"/>
          </w:tcPr>
          <w:p>
            <w:pPr>
              <w:pStyle w:val="Normal"/>
              <w:widowControl w:val="false"/>
              <w:spacing w:before="0" w:after="60"/>
              <w:jc w:val="center"/>
              <w:rPr>
                <w:color w:val="000000"/>
              </w:rPr>
            </w:pPr>
            <w:r>
              <w:rPr>
                <w:color w:val="000000"/>
              </w:rPr>
              <w:t>15.12</w:t>
            </w:r>
          </w:p>
        </w:tc>
        <w:tc>
          <w:tcPr>
            <w:tcW w:w="716" w:type="dxa"/>
            <w:tcBorders/>
            <w:shd w:color="auto" w:fill="auto" w:val="clear"/>
            <w:vAlign w:val="center"/>
          </w:tcPr>
          <w:p>
            <w:pPr>
              <w:pStyle w:val="Normal"/>
              <w:widowControl w:val="false"/>
              <w:spacing w:before="0" w:after="60"/>
              <w:jc w:val="center"/>
              <w:rPr>
                <w:color w:val="000000"/>
              </w:rPr>
            </w:pPr>
            <w:r>
              <w:rPr>
                <w:color w:val="000000"/>
              </w:rPr>
              <w:t>74.09</w:t>
            </w:r>
          </w:p>
        </w:tc>
        <w:tc>
          <w:tcPr>
            <w:tcW w:w="725" w:type="dxa"/>
            <w:tcBorders/>
            <w:shd w:color="auto" w:fill="auto" w:val="clear"/>
            <w:vAlign w:val="center"/>
          </w:tcPr>
          <w:p>
            <w:pPr>
              <w:pStyle w:val="Normal"/>
              <w:widowControl w:val="false"/>
              <w:spacing w:before="0" w:after="60"/>
              <w:jc w:val="center"/>
              <w:rPr>
                <w:color w:val="000000"/>
              </w:rPr>
            </w:pPr>
            <w:r>
              <w:rPr>
                <w:color w:val="000000"/>
              </w:rPr>
              <w:t>0.01</w:t>
            </w:r>
          </w:p>
        </w:tc>
        <w:tc>
          <w:tcPr>
            <w:tcW w:w="623" w:type="dxa"/>
            <w:tcBorders/>
            <w:shd w:color="auto" w:fill="auto" w:val="clear"/>
            <w:vAlign w:val="center"/>
          </w:tcPr>
          <w:p>
            <w:pPr>
              <w:pStyle w:val="Normal"/>
              <w:widowControl w:val="false"/>
              <w:spacing w:before="0" w:after="60"/>
              <w:jc w:val="center"/>
              <w:rPr>
                <w:color w:val="000000"/>
              </w:rPr>
            </w:pPr>
            <w:r>
              <w:rPr>
                <w:color w:val="000000"/>
              </w:rPr>
              <w:t>3.10</w:t>
            </w:r>
          </w:p>
        </w:tc>
        <w:tc>
          <w:tcPr>
            <w:tcW w:w="591" w:type="dxa"/>
            <w:tcBorders/>
            <w:shd w:color="auto" w:fill="auto" w:val="clear"/>
            <w:vAlign w:val="center"/>
          </w:tcPr>
          <w:p>
            <w:pPr>
              <w:pStyle w:val="Normal"/>
              <w:widowControl w:val="false"/>
              <w:spacing w:before="0" w:after="60"/>
              <w:jc w:val="center"/>
              <w:rPr>
                <w:color w:val="000000"/>
              </w:rPr>
            </w:pPr>
            <w:r>
              <w:rPr>
                <w:color w:val="000000"/>
              </w:rPr>
              <w:t>0.58</w:t>
            </w:r>
          </w:p>
        </w:tc>
        <w:tc>
          <w:tcPr>
            <w:tcW w:w="675" w:type="dxa"/>
            <w:tcBorders/>
            <w:shd w:color="auto" w:fill="auto" w:val="clear"/>
            <w:vAlign w:val="center"/>
          </w:tcPr>
          <w:p>
            <w:pPr>
              <w:pStyle w:val="Normal"/>
              <w:widowControl w:val="false"/>
              <w:spacing w:before="0" w:after="60"/>
              <w:jc w:val="center"/>
              <w:rPr>
                <w:color w:val="000000"/>
              </w:rPr>
            </w:pPr>
            <w:r>
              <w:rPr>
                <w:color w:val="000000"/>
              </w:rPr>
              <w:t>0.02</w:t>
            </w:r>
          </w:p>
        </w:tc>
        <w:tc>
          <w:tcPr>
            <w:tcW w:w="675" w:type="dxa"/>
            <w:tcBorders/>
            <w:shd w:color="auto" w:fill="auto" w:val="clear"/>
            <w:vAlign w:val="center"/>
          </w:tcPr>
          <w:p>
            <w:pPr>
              <w:pStyle w:val="Normal"/>
              <w:widowControl w:val="false"/>
              <w:spacing w:before="0" w:after="60"/>
              <w:jc w:val="center"/>
              <w:rPr>
                <w:color w:val="000000"/>
              </w:rPr>
            </w:pPr>
            <w:r>
              <w:rPr>
                <w:color w:val="000000"/>
              </w:rPr>
              <w:t>0.04</w:t>
            </w:r>
          </w:p>
        </w:tc>
        <w:tc>
          <w:tcPr>
            <w:tcW w:w="859" w:type="dxa"/>
            <w:tcBorders/>
            <w:shd w:color="auto" w:fill="auto" w:val="clear"/>
            <w:vAlign w:val="center"/>
          </w:tcPr>
          <w:p>
            <w:pPr>
              <w:pStyle w:val="Normal"/>
              <w:widowControl w:val="false"/>
              <w:spacing w:before="0" w:after="60"/>
              <w:jc w:val="center"/>
              <w:rPr>
                <w:color w:val="000000"/>
              </w:rPr>
            </w:pPr>
            <w:r>
              <w:rPr>
                <w:color w:val="000000"/>
              </w:rPr>
              <w:t>0.88</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8.30</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0.18</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15.71</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74.70</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0.01</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3.65</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0.73</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0.03</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1.12</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PERQ3</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4.25</w:t>
            </w:r>
          </w:p>
        </w:tc>
        <w:tc>
          <w:tcPr>
            <w:tcW w:w="676" w:type="dxa"/>
            <w:tcBorders/>
            <w:shd w:color="auto" w:fill="auto" w:val="clear"/>
            <w:vAlign w:val="center"/>
          </w:tcPr>
          <w:p>
            <w:pPr>
              <w:pStyle w:val="Normal"/>
              <w:widowControl w:val="false"/>
              <w:spacing w:before="0" w:after="60"/>
              <w:jc w:val="center"/>
              <w:rPr>
                <w:color w:val="000000"/>
              </w:rPr>
            </w:pPr>
            <w:r>
              <w:rPr>
                <w:color w:val="000000"/>
              </w:rPr>
              <w:t>0.41</w:t>
            </w:r>
          </w:p>
        </w:tc>
        <w:tc>
          <w:tcPr>
            <w:tcW w:w="859" w:type="dxa"/>
            <w:tcBorders/>
            <w:shd w:color="auto" w:fill="auto" w:val="clear"/>
            <w:vAlign w:val="center"/>
          </w:tcPr>
          <w:p>
            <w:pPr>
              <w:pStyle w:val="Normal"/>
              <w:widowControl w:val="false"/>
              <w:spacing w:before="0" w:after="60"/>
              <w:jc w:val="center"/>
              <w:rPr>
                <w:color w:val="000000"/>
              </w:rPr>
            </w:pPr>
            <w:r>
              <w:rPr>
                <w:color w:val="000000"/>
              </w:rPr>
              <w:t>14.96</w:t>
            </w:r>
          </w:p>
        </w:tc>
        <w:tc>
          <w:tcPr>
            <w:tcW w:w="716" w:type="dxa"/>
            <w:tcBorders/>
            <w:shd w:color="auto" w:fill="auto" w:val="clear"/>
            <w:vAlign w:val="center"/>
          </w:tcPr>
          <w:p>
            <w:pPr>
              <w:pStyle w:val="Normal"/>
              <w:widowControl w:val="false"/>
              <w:spacing w:before="0" w:after="60"/>
              <w:jc w:val="center"/>
              <w:rPr>
                <w:color w:val="000000"/>
              </w:rPr>
            </w:pPr>
            <w:r>
              <w:rPr>
                <w:color w:val="000000"/>
              </w:rPr>
              <w:t>77.15</w:t>
            </w:r>
          </w:p>
        </w:tc>
        <w:tc>
          <w:tcPr>
            <w:tcW w:w="725" w:type="dxa"/>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shd w:color="auto" w:fill="auto" w:val="clear"/>
            <w:vAlign w:val="center"/>
          </w:tcPr>
          <w:p>
            <w:pPr>
              <w:pStyle w:val="Normal"/>
              <w:widowControl w:val="false"/>
              <w:spacing w:before="0" w:after="60"/>
              <w:jc w:val="center"/>
              <w:rPr>
                <w:color w:val="000000"/>
              </w:rPr>
            </w:pPr>
            <w:r>
              <w:rPr>
                <w:color w:val="000000"/>
              </w:rPr>
              <w:t>4.04</w:t>
            </w:r>
          </w:p>
        </w:tc>
        <w:tc>
          <w:tcPr>
            <w:tcW w:w="591" w:type="dxa"/>
            <w:tcBorders/>
            <w:shd w:color="auto" w:fill="auto" w:val="clear"/>
            <w:vAlign w:val="center"/>
          </w:tcPr>
          <w:p>
            <w:pPr>
              <w:pStyle w:val="Normal"/>
              <w:widowControl w:val="false"/>
              <w:spacing w:before="0" w:after="60"/>
              <w:jc w:val="center"/>
              <w:rPr>
                <w:color w:val="000000"/>
              </w:rPr>
            </w:pPr>
            <w:r>
              <w:rPr>
                <w:color w:val="000000"/>
              </w:rPr>
              <w:t>0.77</w:t>
            </w:r>
          </w:p>
        </w:tc>
        <w:tc>
          <w:tcPr>
            <w:tcW w:w="675" w:type="dxa"/>
            <w:tcBorders/>
            <w:shd w:color="auto" w:fill="auto" w:val="clear"/>
            <w:vAlign w:val="center"/>
          </w:tcPr>
          <w:p>
            <w:pPr>
              <w:pStyle w:val="Normal"/>
              <w:widowControl w:val="false"/>
              <w:spacing w:before="0" w:after="60"/>
              <w:jc w:val="center"/>
              <w:rPr>
                <w:color w:val="000000"/>
              </w:rPr>
            </w:pPr>
            <w:r>
              <w:rPr>
                <w:color w:val="000000"/>
              </w:rPr>
              <w:t>0.08</w:t>
            </w:r>
          </w:p>
        </w:tc>
        <w:tc>
          <w:tcPr>
            <w:tcW w:w="675" w:type="dxa"/>
            <w:tcBorders/>
            <w:shd w:color="auto" w:fill="auto" w:val="clear"/>
            <w:vAlign w:val="center"/>
          </w:tcPr>
          <w:p>
            <w:pPr>
              <w:pStyle w:val="Normal"/>
              <w:widowControl w:val="false"/>
              <w:spacing w:before="0" w:after="60"/>
              <w:jc w:val="center"/>
              <w:rPr>
                <w:color w:val="000000"/>
              </w:rPr>
            </w:pPr>
            <w:r>
              <w:rPr>
                <w:color w:val="000000"/>
              </w:rPr>
              <w:t>0.04</w:t>
            </w:r>
          </w:p>
        </w:tc>
        <w:tc>
          <w:tcPr>
            <w:tcW w:w="859" w:type="dxa"/>
            <w:tcBorders/>
            <w:shd w:color="auto" w:fill="auto" w:val="clear"/>
            <w:vAlign w:val="center"/>
          </w:tcPr>
          <w:p>
            <w:pPr>
              <w:pStyle w:val="Normal"/>
              <w:widowControl w:val="false"/>
              <w:spacing w:before="0" w:after="60"/>
              <w:jc w:val="center"/>
              <w:rPr>
                <w:color w:val="000000"/>
              </w:rPr>
            </w:pPr>
            <w:r>
              <w:rPr>
                <w:color w:val="000000"/>
              </w:rPr>
              <w:t>1.14</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3.97</w:t>
            </w:r>
          </w:p>
        </w:tc>
        <w:tc>
          <w:tcPr>
            <w:tcW w:w="676" w:type="dxa"/>
            <w:tcBorders/>
            <w:shd w:color="auto" w:fill="auto" w:val="clear"/>
            <w:vAlign w:val="center"/>
          </w:tcPr>
          <w:p>
            <w:pPr>
              <w:pStyle w:val="Normal"/>
              <w:widowControl w:val="false"/>
              <w:spacing w:before="0" w:after="60"/>
              <w:jc w:val="center"/>
              <w:rPr>
                <w:color w:val="000000"/>
              </w:rPr>
            </w:pPr>
            <w:r>
              <w:rPr>
                <w:color w:val="000000"/>
              </w:rPr>
              <w:t>0.33</w:t>
            </w:r>
          </w:p>
        </w:tc>
        <w:tc>
          <w:tcPr>
            <w:tcW w:w="859" w:type="dxa"/>
            <w:tcBorders/>
            <w:shd w:color="auto" w:fill="auto" w:val="clear"/>
            <w:vAlign w:val="center"/>
          </w:tcPr>
          <w:p>
            <w:pPr>
              <w:pStyle w:val="Normal"/>
              <w:widowControl w:val="false"/>
              <w:spacing w:before="0" w:after="60"/>
              <w:jc w:val="center"/>
              <w:rPr>
                <w:color w:val="000000"/>
              </w:rPr>
            </w:pPr>
            <w:r>
              <w:rPr>
                <w:color w:val="000000"/>
              </w:rPr>
              <w:t>14.73</w:t>
            </w:r>
          </w:p>
        </w:tc>
        <w:tc>
          <w:tcPr>
            <w:tcW w:w="716" w:type="dxa"/>
            <w:tcBorders/>
            <w:shd w:color="auto" w:fill="auto" w:val="clear"/>
            <w:vAlign w:val="center"/>
          </w:tcPr>
          <w:p>
            <w:pPr>
              <w:pStyle w:val="Normal"/>
              <w:widowControl w:val="false"/>
              <w:spacing w:before="0" w:after="60"/>
              <w:jc w:val="center"/>
              <w:rPr>
                <w:color w:val="000000"/>
              </w:rPr>
            </w:pPr>
            <w:r>
              <w:rPr>
                <w:color w:val="000000"/>
              </w:rPr>
              <w:t>76.96</w:t>
            </w:r>
          </w:p>
        </w:tc>
        <w:tc>
          <w:tcPr>
            <w:tcW w:w="725" w:type="dxa"/>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shd w:color="auto" w:fill="auto" w:val="clear"/>
            <w:vAlign w:val="center"/>
          </w:tcPr>
          <w:p>
            <w:pPr>
              <w:pStyle w:val="Normal"/>
              <w:widowControl w:val="false"/>
              <w:spacing w:before="0" w:after="60"/>
              <w:jc w:val="center"/>
              <w:rPr>
                <w:color w:val="000000"/>
              </w:rPr>
            </w:pPr>
            <w:r>
              <w:rPr>
                <w:color w:val="000000"/>
              </w:rPr>
              <w:t>3.59</w:t>
            </w:r>
          </w:p>
        </w:tc>
        <w:tc>
          <w:tcPr>
            <w:tcW w:w="591" w:type="dxa"/>
            <w:tcBorders/>
            <w:shd w:color="auto" w:fill="auto" w:val="clear"/>
            <w:vAlign w:val="center"/>
          </w:tcPr>
          <w:p>
            <w:pPr>
              <w:pStyle w:val="Normal"/>
              <w:widowControl w:val="false"/>
              <w:spacing w:before="0" w:after="60"/>
              <w:jc w:val="center"/>
              <w:rPr>
                <w:color w:val="000000"/>
              </w:rPr>
            </w:pPr>
            <w:r>
              <w:rPr>
                <w:color w:val="000000"/>
              </w:rPr>
              <w:t>0.52</w:t>
            </w:r>
          </w:p>
        </w:tc>
        <w:tc>
          <w:tcPr>
            <w:tcW w:w="675" w:type="dxa"/>
            <w:tcBorders/>
            <w:shd w:color="auto" w:fill="auto" w:val="clear"/>
            <w:vAlign w:val="center"/>
          </w:tcPr>
          <w:p>
            <w:pPr>
              <w:pStyle w:val="Normal"/>
              <w:widowControl w:val="false"/>
              <w:spacing w:before="0" w:after="60"/>
              <w:jc w:val="center"/>
              <w:rPr>
                <w:color w:val="000000"/>
              </w:rPr>
            </w:pPr>
            <w:r>
              <w:rPr>
                <w:color w:val="000000"/>
              </w:rPr>
              <w:t>0.07</w:t>
            </w:r>
          </w:p>
        </w:tc>
        <w:tc>
          <w:tcPr>
            <w:tcW w:w="675" w:type="dxa"/>
            <w:tcBorders/>
            <w:shd w:color="auto" w:fill="auto" w:val="clear"/>
            <w:vAlign w:val="center"/>
          </w:tcPr>
          <w:p>
            <w:pPr>
              <w:pStyle w:val="Normal"/>
              <w:widowControl w:val="false"/>
              <w:spacing w:before="0" w:after="60"/>
              <w:jc w:val="center"/>
              <w:rPr>
                <w:color w:val="000000"/>
              </w:rPr>
            </w:pPr>
            <w:r>
              <w:rPr>
                <w:color w:val="000000"/>
              </w:rPr>
              <w:t>0.03</w:t>
            </w:r>
          </w:p>
        </w:tc>
        <w:tc>
          <w:tcPr>
            <w:tcW w:w="859" w:type="dxa"/>
            <w:tcBorders/>
            <w:shd w:color="auto" w:fill="auto" w:val="clear"/>
            <w:vAlign w:val="center"/>
          </w:tcPr>
          <w:p>
            <w:pPr>
              <w:pStyle w:val="Normal"/>
              <w:widowControl w:val="false"/>
              <w:spacing w:before="0" w:after="60"/>
              <w:jc w:val="center"/>
              <w:rPr>
                <w:color w:val="000000"/>
              </w:rPr>
            </w:pPr>
            <w:r>
              <w:rPr>
                <w:color w:val="000000"/>
              </w:rPr>
              <w:t>0.97</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4.76</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0.46</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15.41</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77.28</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0.04</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4.25</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0.90</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0.09</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0.04</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1.22</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PERQ4</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5.66</w:t>
            </w:r>
          </w:p>
        </w:tc>
        <w:tc>
          <w:tcPr>
            <w:tcW w:w="676" w:type="dxa"/>
            <w:tcBorders/>
            <w:shd w:color="auto" w:fill="auto" w:val="clear"/>
            <w:vAlign w:val="center"/>
          </w:tcPr>
          <w:p>
            <w:pPr>
              <w:pStyle w:val="Normal"/>
              <w:widowControl w:val="false"/>
              <w:spacing w:before="0" w:after="60"/>
              <w:jc w:val="center"/>
              <w:rPr>
                <w:color w:val="000000"/>
              </w:rPr>
            </w:pPr>
            <w:r>
              <w:rPr>
                <w:color w:val="000000"/>
              </w:rPr>
              <w:t>0.99</w:t>
            </w:r>
          </w:p>
        </w:tc>
        <w:tc>
          <w:tcPr>
            <w:tcW w:w="859" w:type="dxa"/>
            <w:tcBorders/>
            <w:shd w:color="auto" w:fill="auto" w:val="clear"/>
            <w:vAlign w:val="center"/>
          </w:tcPr>
          <w:p>
            <w:pPr>
              <w:pStyle w:val="Normal"/>
              <w:widowControl w:val="false"/>
              <w:spacing w:before="0" w:after="60"/>
              <w:jc w:val="center"/>
              <w:rPr>
                <w:color w:val="000000"/>
              </w:rPr>
            </w:pPr>
            <w:r>
              <w:rPr>
                <w:color w:val="000000"/>
              </w:rPr>
              <w:t>15.19</w:t>
            </w:r>
          </w:p>
        </w:tc>
        <w:tc>
          <w:tcPr>
            <w:tcW w:w="716" w:type="dxa"/>
            <w:tcBorders/>
            <w:shd w:color="auto" w:fill="auto" w:val="clear"/>
            <w:vAlign w:val="center"/>
          </w:tcPr>
          <w:p>
            <w:pPr>
              <w:pStyle w:val="Normal"/>
              <w:widowControl w:val="false"/>
              <w:spacing w:before="0" w:after="60"/>
              <w:jc w:val="center"/>
              <w:rPr>
                <w:color w:val="000000"/>
              </w:rPr>
            </w:pPr>
            <w:r>
              <w:rPr>
                <w:color w:val="000000"/>
              </w:rPr>
              <w:t>75.10</w:t>
            </w:r>
          </w:p>
        </w:tc>
        <w:tc>
          <w:tcPr>
            <w:tcW w:w="725" w:type="dxa"/>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shd w:color="auto" w:fill="auto" w:val="clear"/>
            <w:vAlign w:val="center"/>
          </w:tcPr>
          <w:p>
            <w:pPr>
              <w:pStyle w:val="Normal"/>
              <w:widowControl w:val="false"/>
              <w:spacing w:before="0" w:after="60"/>
              <w:jc w:val="center"/>
              <w:rPr>
                <w:color w:val="000000"/>
              </w:rPr>
            </w:pPr>
            <w:r>
              <w:rPr>
                <w:color w:val="000000"/>
              </w:rPr>
              <w:t>2.37</w:t>
            </w:r>
          </w:p>
        </w:tc>
        <w:tc>
          <w:tcPr>
            <w:tcW w:w="591" w:type="dxa"/>
            <w:tcBorders/>
            <w:shd w:color="auto" w:fill="auto" w:val="clear"/>
            <w:vAlign w:val="center"/>
          </w:tcPr>
          <w:p>
            <w:pPr>
              <w:pStyle w:val="Normal"/>
              <w:widowControl w:val="false"/>
              <w:spacing w:before="0" w:after="60"/>
              <w:jc w:val="center"/>
              <w:rPr>
                <w:color w:val="000000"/>
              </w:rPr>
            </w:pPr>
            <w:r>
              <w:rPr>
                <w:color w:val="000000"/>
              </w:rPr>
              <w:t>0.66</w:t>
            </w:r>
          </w:p>
        </w:tc>
        <w:tc>
          <w:tcPr>
            <w:tcW w:w="675" w:type="dxa"/>
            <w:tcBorders/>
            <w:shd w:color="auto" w:fill="auto" w:val="clear"/>
            <w:vAlign w:val="center"/>
          </w:tcPr>
          <w:p>
            <w:pPr>
              <w:pStyle w:val="Normal"/>
              <w:widowControl w:val="false"/>
              <w:spacing w:before="0" w:after="60"/>
              <w:jc w:val="center"/>
              <w:rPr>
                <w:color w:val="000000"/>
              </w:rPr>
            </w:pPr>
            <w:r>
              <w:rPr>
                <w:color w:val="000000"/>
              </w:rPr>
              <w:t>0.07</w:t>
            </w:r>
          </w:p>
        </w:tc>
        <w:tc>
          <w:tcPr>
            <w:tcW w:w="675" w:type="dxa"/>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shd w:color="auto" w:fill="auto" w:val="clear"/>
            <w:vAlign w:val="center"/>
          </w:tcPr>
          <w:p>
            <w:pPr>
              <w:pStyle w:val="Normal"/>
              <w:widowControl w:val="false"/>
              <w:spacing w:before="0" w:after="60"/>
              <w:jc w:val="center"/>
              <w:rPr>
                <w:color w:val="000000"/>
              </w:rPr>
            </w:pPr>
            <w:r>
              <w:rPr>
                <w:color w:val="000000"/>
              </w:rPr>
              <w:t>0.78</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3.30</w:t>
            </w:r>
          </w:p>
        </w:tc>
        <w:tc>
          <w:tcPr>
            <w:tcW w:w="676" w:type="dxa"/>
            <w:tcBorders/>
            <w:shd w:color="auto" w:fill="auto" w:val="clear"/>
            <w:vAlign w:val="center"/>
          </w:tcPr>
          <w:p>
            <w:pPr>
              <w:pStyle w:val="Normal"/>
              <w:widowControl w:val="false"/>
              <w:spacing w:before="0" w:after="60"/>
              <w:jc w:val="center"/>
              <w:rPr>
                <w:color w:val="000000"/>
              </w:rPr>
            </w:pPr>
            <w:r>
              <w:rPr>
                <w:color w:val="000000"/>
              </w:rPr>
              <w:t>0.63</w:t>
            </w:r>
          </w:p>
        </w:tc>
        <w:tc>
          <w:tcPr>
            <w:tcW w:w="859" w:type="dxa"/>
            <w:tcBorders/>
            <w:shd w:color="auto" w:fill="auto" w:val="clear"/>
            <w:vAlign w:val="center"/>
          </w:tcPr>
          <w:p>
            <w:pPr>
              <w:pStyle w:val="Normal"/>
              <w:widowControl w:val="false"/>
              <w:spacing w:before="0" w:after="60"/>
              <w:jc w:val="center"/>
              <w:rPr>
                <w:color w:val="000000"/>
              </w:rPr>
            </w:pPr>
            <w:r>
              <w:rPr>
                <w:color w:val="000000"/>
              </w:rPr>
              <w:t>11.32</w:t>
            </w:r>
          </w:p>
        </w:tc>
        <w:tc>
          <w:tcPr>
            <w:tcW w:w="716" w:type="dxa"/>
            <w:tcBorders/>
            <w:shd w:color="auto" w:fill="auto" w:val="clear"/>
            <w:vAlign w:val="center"/>
          </w:tcPr>
          <w:p>
            <w:pPr>
              <w:pStyle w:val="Normal"/>
              <w:widowControl w:val="false"/>
              <w:spacing w:before="0" w:after="60"/>
              <w:jc w:val="center"/>
              <w:rPr>
                <w:color w:val="000000"/>
              </w:rPr>
            </w:pPr>
            <w:r>
              <w:rPr>
                <w:color w:val="000000"/>
              </w:rPr>
              <w:t>63.28</w:t>
            </w:r>
          </w:p>
        </w:tc>
        <w:tc>
          <w:tcPr>
            <w:tcW w:w="725" w:type="dxa"/>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shd w:color="auto" w:fill="auto" w:val="clear"/>
            <w:vAlign w:val="center"/>
          </w:tcPr>
          <w:p>
            <w:pPr>
              <w:pStyle w:val="Normal"/>
              <w:widowControl w:val="false"/>
              <w:spacing w:before="0" w:after="60"/>
              <w:jc w:val="center"/>
              <w:rPr>
                <w:color w:val="000000"/>
              </w:rPr>
            </w:pPr>
            <w:r>
              <w:rPr>
                <w:color w:val="000000"/>
              </w:rPr>
              <w:t>2.02</w:t>
            </w:r>
          </w:p>
        </w:tc>
        <w:tc>
          <w:tcPr>
            <w:tcW w:w="591" w:type="dxa"/>
            <w:tcBorders/>
            <w:shd w:color="auto" w:fill="auto" w:val="clear"/>
            <w:vAlign w:val="center"/>
          </w:tcPr>
          <w:p>
            <w:pPr>
              <w:pStyle w:val="Normal"/>
              <w:widowControl w:val="false"/>
              <w:spacing w:before="0" w:after="60"/>
              <w:jc w:val="center"/>
              <w:rPr>
                <w:color w:val="000000"/>
              </w:rPr>
            </w:pPr>
            <w:r>
              <w:rPr>
                <w:color w:val="000000"/>
              </w:rPr>
              <w:t>0.53</w:t>
            </w:r>
          </w:p>
        </w:tc>
        <w:tc>
          <w:tcPr>
            <w:tcW w:w="675" w:type="dxa"/>
            <w:tcBorders/>
            <w:shd w:color="auto" w:fill="auto" w:val="clear"/>
            <w:vAlign w:val="center"/>
          </w:tcPr>
          <w:p>
            <w:pPr>
              <w:pStyle w:val="Normal"/>
              <w:widowControl w:val="false"/>
              <w:spacing w:before="0" w:after="60"/>
              <w:jc w:val="center"/>
              <w:rPr>
                <w:color w:val="000000"/>
              </w:rPr>
            </w:pPr>
            <w:r>
              <w:rPr>
                <w:color w:val="000000"/>
              </w:rPr>
              <w:t>0.06</w:t>
            </w:r>
          </w:p>
        </w:tc>
        <w:tc>
          <w:tcPr>
            <w:tcW w:w="675" w:type="dxa"/>
            <w:tcBorders/>
            <w:shd w:color="auto" w:fill="auto" w:val="clear"/>
            <w:vAlign w:val="center"/>
          </w:tcPr>
          <w:p>
            <w:pPr>
              <w:pStyle w:val="Normal"/>
              <w:widowControl w:val="false"/>
              <w:spacing w:before="0" w:after="60"/>
              <w:jc w:val="center"/>
              <w:rPr>
                <w:color w:val="000000"/>
              </w:rPr>
            </w:pPr>
            <w:r>
              <w:rPr>
                <w:color w:val="000000"/>
              </w:rPr>
              <w:t>0.04</w:t>
            </w:r>
          </w:p>
        </w:tc>
        <w:tc>
          <w:tcPr>
            <w:tcW w:w="859" w:type="dxa"/>
            <w:tcBorders/>
            <w:shd w:color="auto" w:fill="auto" w:val="clear"/>
            <w:vAlign w:val="center"/>
          </w:tcPr>
          <w:p>
            <w:pPr>
              <w:pStyle w:val="Normal"/>
              <w:widowControl w:val="false"/>
              <w:spacing w:before="0" w:after="60"/>
              <w:jc w:val="center"/>
              <w:rPr>
                <w:color w:val="000000"/>
              </w:rPr>
            </w:pPr>
            <w:r>
              <w:rPr>
                <w:color w:val="000000"/>
              </w:rPr>
              <w:t>0.62</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7.54</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1.21</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16.14</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78.99</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2.81</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0.78</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0.09</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0.06</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0.93</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PERQ5</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7.84</w:t>
            </w:r>
          </w:p>
        </w:tc>
        <w:tc>
          <w:tcPr>
            <w:tcW w:w="676" w:type="dxa"/>
            <w:tcBorders/>
            <w:shd w:color="auto" w:fill="auto" w:val="clear"/>
            <w:vAlign w:val="center"/>
          </w:tcPr>
          <w:p>
            <w:pPr>
              <w:pStyle w:val="Normal"/>
              <w:widowControl w:val="false"/>
              <w:spacing w:before="0" w:after="60"/>
              <w:jc w:val="center"/>
              <w:rPr>
                <w:color w:val="000000"/>
              </w:rPr>
            </w:pPr>
            <w:r>
              <w:rPr>
                <w:color w:val="000000"/>
              </w:rPr>
              <w:t>0.08</w:t>
            </w:r>
          </w:p>
        </w:tc>
        <w:tc>
          <w:tcPr>
            <w:tcW w:w="859" w:type="dxa"/>
            <w:tcBorders/>
            <w:shd w:color="auto" w:fill="auto" w:val="clear"/>
            <w:vAlign w:val="center"/>
          </w:tcPr>
          <w:p>
            <w:pPr>
              <w:pStyle w:val="Normal"/>
              <w:widowControl w:val="false"/>
              <w:spacing w:before="0" w:after="60"/>
              <w:jc w:val="center"/>
              <w:rPr>
                <w:color w:val="000000"/>
              </w:rPr>
            </w:pPr>
            <w:r>
              <w:rPr>
                <w:color w:val="000000"/>
              </w:rPr>
              <w:t>14.55</w:t>
            </w:r>
          </w:p>
        </w:tc>
        <w:tc>
          <w:tcPr>
            <w:tcW w:w="716" w:type="dxa"/>
            <w:tcBorders/>
            <w:shd w:color="auto" w:fill="auto" w:val="clear"/>
            <w:vAlign w:val="center"/>
          </w:tcPr>
          <w:p>
            <w:pPr>
              <w:pStyle w:val="Normal"/>
              <w:widowControl w:val="false"/>
              <w:spacing w:before="0" w:after="60"/>
              <w:jc w:val="center"/>
              <w:rPr>
                <w:color w:val="000000"/>
              </w:rPr>
            </w:pPr>
            <w:r>
              <w:rPr>
                <w:color w:val="000000"/>
              </w:rPr>
              <w:t>76.13</w:t>
            </w:r>
          </w:p>
        </w:tc>
        <w:tc>
          <w:tcPr>
            <w:tcW w:w="725" w:type="dxa"/>
            <w:tcBorders/>
            <w:shd w:color="auto" w:fill="auto" w:val="clear"/>
            <w:vAlign w:val="center"/>
          </w:tcPr>
          <w:p>
            <w:pPr>
              <w:pStyle w:val="Normal"/>
              <w:widowControl w:val="false"/>
              <w:spacing w:before="0" w:after="60"/>
              <w:jc w:val="center"/>
              <w:rPr>
                <w:color w:val="000000"/>
              </w:rPr>
            </w:pPr>
            <w:r>
              <w:rPr>
                <w:color w:val="000000"/>
              </w:rPr>
              <w:t>0.01</w:t>
            </w:r>
          </w:p>
        </w:tc>
        <w:tc>
          <w:tcPr>
            <w:tcW w:w="623" w:type="dxa"/>
            <w:tcBorders/>
            <w:shd w:color="auto" w:fill="auto" w:val="clear"/>
            <w:vAlign w:val="center"/>
          </w:tcPr>
          <w:p>
            <w:pPr>
              <w:pStyle w:val="Normal"/>
              <w:widowControl w:val="false"/>
              <w:spacing w:before="0" w:after="60"/>
              <w:jc w:val="center"/>
              <w:rPr>
                <w:color w:val="000000"/>
              </w:rPr>
            </w:pPr>
            <w:r>
              <w:rPr>
                <w:color w:val="000000"/>
              </w:rPr>
              <w:t>3.09</w:t>
            </w:r>
          </w:p>
        </w:tc>
        <w:tc>
          <w:tcPr>
            <w:tcW w:w="591" w:type="dxa"/>
            <w:tcBorders/>
            <w:shd w:color="auto" w:fill="auto" w:val="clear"/>
            <w:vAlign w:val="center"/>
          </w:tcPr>
          <w:p>
            <w:pPr>
              <w:pStyle w:val="Normal"/>
              <w:widowControl w:val="false"/>
              <w:spacing w:before="0" w:after="60"/>
              <w:jc w:val="center"/>
              <w:rPr>
                <w:color w:val="000000"/>
              </w:rPr>
            </w:pPr>
            <w:r>
              <w:rPr>
                <w:color w:val="000000"/>
              </w:rPr>
              <w:t>0.28</w:t>
            </w:r>
          </w:p>
        </w:tc>
        <w:tc>
          <w:tcPr>
            <w:tcW w:w="675" w:type="dxa"/>
            <w:tcBorders/>
            <w:shd w:color="auto" w:fill="auto" w:val="clear"/>
            <w:vAlign w:val="center"/>
          </w:tcPr>
          <w:p>
            <w:pPr>
              <w:pStyle w:val="Normal"/>
              <w:widowControl w:val="false"/>
              <w:spacing w:before="0" w:after="60"/>
              <w:jc w:val="center"/>
              <w:rPr>
                <w:color w:val="000000"/>
              </w:rPr>
            </w:pPr>
            <w:r>
              <w:rPr>
                <w:color w:val="000000"/>
              </w:rPr>
              <w:t>0.03</w:t>
            </w:r>
          </w:p>
        </w:tc>
        <w:tc>
          <w:tcPr>
            <w:tcW w:w="675" w:type="dxa"/>
            <w:tcBorders/>
            <w:shd w:color="auto" w:fill="auto" w:val="clear"/>
            <w:vAlign w:val="center"/>
          </w:tcPr>
          <w:p>
            <w:pPr>
              <w:pStyle w:val="Normal"/>
              <w:widowControl w:val="false"/>
              <w:spacing w:before="0" w:after="60"/>
              <w:jc w:val="center"/>
              <w:rPr>
                <w:color w:val="000000"/>
              </w:rPr>
            </w:pPr>
            <w:r>
              <w:rPr>
                <w:color w:val="000000"/>
              </w:rPr>
              <w:t>0.06</w:t>
            </w:r>
          </w:p>
        </w:tc>
        <w:tc>
          <w:tcPr>
            <w:tcW w:w="859" w:type="dxa"/>
            <w:tcBorders/>
            <w:shd w:color="auto" w:fill="auto" w:val="clear"/>
            <w:vAlign w:val="center"/>
          </w:tcPr>
          <w:p>
            <w:pPr>
              <w:pStyle w:val="Normal"/>
              <w:widowControl w:val="false"/>
              <w:spacing w:before="0" w:after="60"/>
              <w:jc w:val="center"/>
              <w:rPr>
                <w:color w:val="000000"/>
              </w:rPr>
            </w:pPr>
            <w:r>
              <w:rPr>
                <w:color w:val="000000"/>
              </w:rPr>
              <w:t>0.79</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7.38</w:t>
            </w:r>
          </w:p>
        </w:tc>
        <w:tc>
          <w:tcPr>
            <w:tcW w:w="676" w:type="dxa"/>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shd w:color="auto" w:fill="auto" w:val="clear"/>
            <w:vAlign w:val="center"/>
          </w:tcPr>
          <w:p>
            <w:pPr>
              <w:pStyle w:val="Normal"/>
              <w:widowControl w:val="false"/>
              <w:spacing w:before="0" w:after="60"/>
              <w:jc w:val="center"/>
              <w:rPr>
                <w:color w:val="000000"/>
              </w:rPr>
            </w:pPr>
            <w:r>
              <w:rPr>
                <w:color w:val="000000"/>
              </w:rPr>
              <w:t>14.11</w:t>
            </w:r>
          </w:p>
        </w:tc>
        <w:tc>
          <w:tcPr>
            <w:tcW w:w="716" w:type="dxa"/>
            <w:tcBorders/>
            <w:shd w:color="auto" w:fill="auto" w:val="clear"/>
            <w:vAlign w:val="center"/>
          </w:tcPr>
          <w:p>
            <w:pPr>
              <w:pStyle w:val="Normal"/>
              <w:widowControl w:val="false"/>
              <w:spacing w:before="0" w:after="60"/>
              <w:jc w:val="center"/>
              <w:rPr>
                <w:color w:val="000000"/>
              </w:rPr>
            </w:pPr>
            <w:r>
              <w:rPr>
                <w:color w:val="000000"/>
              </w:rPr>
              <w:t>75.91</w:t>
            </w:r>
          </w:p>
        </w:tc>
        <w:tc>
          <w:tcPr>
            <w:tcW w:w="725" w:type="dxa"/>
            <w:tcBorders/>
            <w:shd w:color="auto" w:fill="auto" w:val="clear"/>
            <w:vAlign w:val="center"/>
          </w:tcPr>
          <w:p>
            <w:pPr>
              <w:pStyle w:val="Normal"/>
              <w:widowControl w:val="false"/>
              <w:spacing w:before="0" w:after="60"/>
              <w:jc w:val="center"/>
              <w:rPr>
                <w:color w:val="000000"/>
              </w:rPr>
            </w:pPr>
            <w:r>
              <w:rPr>
                <w:color w:val="000000"/>
              </w:rPr>
              <w:t>0.01</w:t>
            </w:r>
          </w:p>
        </w:tc>
        <w:tc>
          <w:tcPr>
            <w:tcW w:w="623" w:type="dxa"/>
            <w:tcBorders/>
            <w:shd w:color="auto" w:fill="auto" w:val="clear"/>
            <w:vAlign w:val="center"/>
          </w:tcPr>
          <w:p>
            <w:pPr>
              <w:pStyle w:val="Normal"/>
              <w:widowControl w:val="false"/>
              <w:spacing w:before="0" w:after="60"/>
              <w:jc w:val="center"/>
              <w:rPr>
                <w:color w:val="000000"/>
              </w:rPr>
            </w:pPr>
            <w:r>
              <w:rPr>
                <w:color w:val="000000"/>
              </w:rPr>
              <w:t>2.78</w:t>
            </w:r>
          </w:p>
        </w:tc>
        <w:tc>
          <w:tcPr>
            <w:tcW w:w="591" w:type="dxa"/>
            <w:tcBorders/>
            <w:shd w:color="auto" w:fill="auto" w:val="clear"/>
            <w:vAlign w:val="center"/>
          </w:tcPr>
          <w:p>
            <w:pPr>
              <w:pStyle w:val="Normal"/>
              <w:widowControl w:val="false"/>
              <w:spacing w:before="0" w:after="60"/>
              <w:jc w:val="center"/>
              <w:rPr>
                <w:color w:val="000000"/>
              </w:rPr>
            </w:pPr>
            <w:r>
              <w:rPr>
                <w:color w:val="000000"/>
              </w:rPr>
              <w:t>0.25</w:t>
            </w:r>
          </w:p>
        </w:tc>
        <w:tc>
          <w:tcPr>
            <w:tcW w:w="675" w:type="dxa"/>
            <w:tcBorders/>
            <w:shd w:color="auto" w:fill="auto" w:val="clear"/>
            <w:vAlign w:val="center"/>
          </w:tcPr>
          <w:p>
            <w:pPr>
              <w:pStyle w:val="Normal"/>
              <w:widowControl w:val="false"/>
              <w:spacing w:before="0" w:after="60"/>
              <w:jc w:val="center"/>
              <w:rPr>
                <w:color w:val="000000"/>
              </w:rPr>
            </w:pPr>
            <w:r>
              <w:rPr>
                <w:color w:val="000000"/>
              </w:rPr>
              <w:t>0.03</w:t>
            </w:r>
          </w:p>
        </w:tc>
        <w:tc>
          <w:tcPr>
            <w:tcW w:w="675" w:type="dxa"/>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shd w:color="auto" w:fill="auto" w:val="clear"/>
            <w:vAlign w:val="center"/>
          </w:tcPr>
          <w:p>
            <w:pPr>
              <w:pStyle w:val="Normal"/>
              <w:widowControl w:val="false"/>
              <w:spacing w:before="0" w:after="60"/>
              <w:jc w:val="center"/>
              <w:rPr>
                <w:color w:val="000000"/>
              </w:rPr>
            </w:pPr>
            <w:r>
              <w:rPr>
                <w:color w:val="000000"/>
              </w:rPr>
              <w:t>0.68</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8.26</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0.11</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14.83</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76.47</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0.01</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3.45</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0.32</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0.04</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0.07</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0.90</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PERQ6</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7.66</w:t>
            </w:r>
          </w:p>
        </w:tc>
        <w:tc>
          <w:tcPr>
            <w:tcW w:w="676" w:type="dxa"/>
            <w:tcBorders/>
            <w:shd w:color="auto" w:fill="auto" w:val="clear"/>
            <w:vAlign w:val="center"/>
          </w:tcPr>
          <w:p>
            <w:pPr>
              <w:pStyle w:val="Normal"/>
              <w:widowControl w:val="false"/>
              <w:spacing w:before="0" w:after="60"/>
              <w:jc w:val="center"/>
              <w:rPr>
                <w:color w:val="000000"/>
              </w:rPr>
            </w:pPr>
            <w:r>
              <w:rPr>
                <w:color w:val="000000"/>
              </w:rPr>
              <w:t>0.17</w:t>
            </w:r>
          </w:p>
        </w:tc>
        <w:tc>
          <w:tcPr>
            <w:tcW w:w="859" w:type="dxa"/>
            <w:tcBorders/>
            <w:shd w:color="auto" w:fill="auto" w:val="clear"/>
            <w:vAlign w:val="center"/>
          </w:tcPr>
          <w:p>
            <w:pPr>
              <w:pStyle w:val="Normal"/>
              <w:widowControl w:val="false"/>
              <w:spacing w:before="0" w:after="60"/>
              <w:jc w:val="center"/>
              <w:rPr>
                <w:color w:val="000000"/>
              </w:rPr>
            </w:pPr>
            <w:r>
              <w:rPr>
                <w:color w:val="000000"/>
              </w:rPr>
              <w:t>15.29</w:t>
            </w:r>
          </w:p>
        </w:tc>
        <w:tc>
          <w:tcPr>
            <w:tcW w:w="716" w:type="dxa"/>
            <w:tcBorders/>
            <w:shd w:color="auto" w:fill="auto" w:val="clear"/>
            <w:vAlign w:val="center"/>
          </w:tcPr>
          <w:p>
            <w:pPr>
              <w:pStyle w:val="Normal"/>
              <w:widowControl w:val="false"/>
              <w:spacing w:before="0" w:after="60"/>
              <w:jc w:val="center"/>
              <w:rPr>
                <w:color w:val="000000"/>
              </w:rPr>
            </w:pPr>
            <w:r>
              <w:rPr>
                <w:color w:val="000000"/>
              </w:rPr>
              <w:t>73.90</w:t>
            </w:r>
          </w:p>
        </w:tc>
        <w:tc>
          <w:tcPr>
            <w:tcW w:w="725" w:type="dxa"/>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shd w:color="auto" w:fill="auto" w:val="clear"/>
            <w:vAlign w:val="center"/>
          </w:tcPr>
          <w:p>
            <w:pPr>
              <w:pStyle w:val="Normal"/>
              <w:widowControl w:val="false"/>
              <w:spacing w:before="0" w:after="60"/>
              <w:jc w:val="center"/>
              <w:rPr>
                <w:color w:val="000000"/>
              </w:rPr>
            </w:pPr>
            <w:r>
              <w:rPr>
                <w:color w:val="000000"/>
              </w:rPr>
              <w:t>3.42</w:t>
            </w:r>
          </w:p>
        </w:tc>
        <w:tc>
          <w:tcPr>
            <w:tcW w:w="591" w:type="dxa"/>
            <w:tcBorders/>
            <w:shd w:color="auto" w:fill="auto" w:val="clear"/>
            <w:vAlign w:val="center"/>
          </w:tcPr>
          <w:p>
            <w:pPr>
              <w:pStyle w:val="Normal"/>
              <w:widowControl w:val="false"/>
              <w:spacing w:before="0" w:after="60"/>
              <w:jc w:val="center"/>
              <w:rPr>
                <w:color w:val="000000"/>
              </w:rPr>
            </w:pPr>
            <w:r>
              <w:rPr>
                <w:color w:val="000000"/>
              </w:rPr>
              <w:t>0.94</w:t>
            </w:r>
          </w:p>
        </w:tc>
        <w:tc>
          <w:tcPr>
            <w:tcW w:w="675" w:type="dxa"/>
            <w:tcBorders/>
            <w:shd w:color="auto" w:fill="auto" w:val="clear"/>
            <w:vAlign w:val="center"/>
          </w:tcPr>
          <w:p>
            <w:pPr>
              <w:pStyle w:val="Normal"/>
              <w:widowControl w:val="false"/>
              <w:spacing w:before="0" w:after="60"/>
              <w:jc w:val="center"/>
              <w:rPr>
                <w:color w:val="000000"/>
              </w:rPr>
            </w:pPr>
            <w:r>
              <w:rPr>
                <w:color w:val="000000"/>
              </w:rPr>
              <w:t>0.08</w:t>
            </w:r>
          </w:p>
        </w:tc>
        <w:tc>
          <w:tcPr>
            <w:tcW w:w="675" w:type="dxa"/>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shd w:color="auto" w:fill="auto" w:val="clear"/>
            <w:vAlign w:val="center"/>
          </w:tcPr>
          <w:p>
            <w:pPr>
              <w:pStyle w:val="Normal"/>
              <w:widowControl w:val="false"/>
              <w:spacing w:before="0" w:after="60"/>
              <w:jc w:val="center"/>
              <w:rPr>
                <w:color w:val="000000"/>
              </w:rPr>
            </w:pPr>
            <w:r>
              <w:rPr>
                <w:color w:val="000000"/>
              </w:rPr>
              <w:t>1.26</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7.35</w:t>
            </w:r>
          </w:p>
        </w:tc>
        <w:tc>
          <w:tcPr>
            <w:tcW w:w="676" w:type="dxa"/>
            <w:tcBorders/>
            <w:shd w:color="auto" w:fill="auto" w:val="clear"/>
            <w:vAlign w:val="center"/>
          </w:tcPr>
          <w:p>
            <w:pPr>
              <w:pStyle w:val="Normal"/>
              <w:widowControl w:val="false"/>
              <w:spacing w:before="0" w:after="60"/>
              <w:jc w:val="center"/>
              <w:rPr>
                <w:color w:val="000000"/>
              </w:rPr>
            </w:pPr>
            <w:r>
              <w:rPr>
                <w:color w:val="000000"/>
              </w:rPr>
              <w:t>0.16</w:t>
            </w:r>
          </w:p>
        </w:tc>
        <w:tc>
          <w:tcPr>
            <w:tcW w:w="859" w:type="dxa"/>
            <w:tcBorders/>
            <w:shd w:color="auto" w:fill="auto" w:val="clear"/>
            <w:vAlign w:val="center"/>
          </w:tcPr>
          <w:p>
            <w:pPr>
              <w:pStyle w:val="Normal"/>
              <w:widowControl w:val="false"/>
              <w:spacing w:before="0" w:after="60"/>
              <w:jc w:val="center"/>
              <w:rPr>
                <w:color w:val="000000"/>
              </w:rPr>
            </w:pPr>
            <w:r>
              <w:rPr>
                <w:color w:val="000000"/>
              </w:rPr>
              <w:t>15.08</w:t>
            </w:r>
          </w:p>
        </w:tc>
        <w:tc>
          <w:tcPr>
            <w:tcW w:w="716" w:type="dxa"/>
            <w:tcBorders/>
            <w:shd w:color="auto" w:fill="auto" w:val="clear"/>
            <w:vAlign w:val="center"/>
          </w:tcPr>
          <w:p>
            <w:pPr>
              <w:pStyle w:val="Normal"/>
              <w:widowControl w:val="false"/>
              <w:spacing w:before="0" w:after="60"/>
              <w:jc w:val="center"/>
              <w:rPr>
                <w:color w:val="000000"/>
              </w:rPr>
            </w:pPr>
            <w:r>
              <w:rPr>
                <w:color w:val="000000"/>
              </w:rPr>
              <w:t>73.62</w:t>
            </w:r>
          </w:p>
        </w:tc>
        <w:tc>
          <w:tcPr>
            <w:tcW w:w="725" w:type="dxa"/>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shd w:color="auto" w:fill="auto" w:val="clear"/>
            <w:vAlign w:val="center"/>
          </w:tcPr>
          <w:p>
            <w:pPr>
              <w:pStyle w:val="Normal"/>
              <w:widowControl w:val="false"/>
              <w:spacing w:before="0" w:after="60"/>
              <w:jc w:val="center"/>
              <w:rPr>
                <w:color w:val="000000"/>
              </w:rPr>
            </w:pPr>
            <w:r>
              <w:rPr>
                <w:color w:val="000000"/>
              </w:rPr>
              <w:t>3.02</w:t>
            </w:r>
          </w:p>
        </w:tc>
        <w:tc>
          <w:tcPr>
            <w:tcW w:w="591" w:type="dxa"/>
            <w:tcBorders/>
            <w:shd w:color="auto" w:fill="auto" w:val="clear"/>
            <w:vAlign w:val="center"/>
          </w:tcPr>
          <w:p>
            <w:pPr>
              <w:pStyle w:val="Normal"/>
              <w:widowControl w:val="false"/>
              <w:spacing w:before="0" w:after="60"/>
              <w:jc w:val="center"/>
              <w:rPr>
                <w:color w:val="000000"/>
              </w:rPr>
            </w:pPr>
            <w:r>
              <w:rPr>
                <w:color w:val="000000"/>
              </w:rPr>
              <w:t>0.79</w:t>
            </w:r>
          </w:p>
        </w:tc>
        <w:tc>
          <w:tcPr>
            <w:tcW w:w="675" w:type="dxa"/>
            <w:tcBorders/>
            <w:shd w:color="auto" w:fill="auto" w:val="clear"/>
            <w:vAlign w:val="center"/>
          </w:tcPr>
          <w:p>
            <w:pPr>
              <w:pStyle w:val="Normal"/>
              <w:widowControl w:val="false"/>
              <w:spacing w:before="0" w:after="60"/>
              <w:jc w:val="center"/>
              <w:rPr>
                <w:color w:val="000000"/>
              </w:rPr>
            </w:pPr>
            <w:r>
              <w:rPr>
                <w:color w:val="000000"/>
              </w:rPr>
              <w:t>0.07</w:t>
            </w:r>
          </w:p>
        </w:tc>
        <w:tc>
          <w:tcPr>
            <w:tcW w:w="675" w:type="dxa"/>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shd w:color="auto" w:fill="auto" w:val="clear"/>
            <w:vAlign w:val="center"/>
          </w:tcPr>
          <w:p>
            <w:pPr>
              <w:pStyle w:val="Normal"/>
              <w:widowControl w:val="false"/>
              <w:spacing w:before="0" w:after="60"/>
              <w:jc w:val="center"/>
              <w:rPr>
                <w:color w:val="000000"/>
              </w:rPr>
            </w:pPr>
            <w:r>
              <w:rPr>
                <w:color w:val="000000"/>
              </w:rPr>
              <w:t>1.06</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8.26</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0.18</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15.79</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74.09</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3.58</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0.99</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0.09</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0.06</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1.35</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PERQ7</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6.78</w:t>
            </w:r>
          </w:p>
        </w:tc>
        <w:tc>
          <w:tcPr>
            <w:tcW w:w="676" w:type="dxa"/>
            <w:tcBorders/>
            <w:shd w:color="auto" w:fill="auto" w:val="clear"/>
            <w:vAlign w:val="center"/>
          </w:tcPr>
          <w:p>
            <w:pPr>
              <w:pStyle w:val="Normal"/>
              <w:widowControl w:val="false"/>
              <w:spacing w:before="0" w:after="60"/>
              <w:jc w:val="center"/>
              <w:rPr>
                <w:color w:val="000000"/>
              </w:rPr>
            </w:pPr>
            <w:r>
              <w:rPr>
                <w:color w:val="000000"/>
              </w:rPr>
              <w:t>0.21</w:t>
            </w:r>
          </w:p>
        </w:tc>
        <w:tc>
          <w:tcPr>
            <w:tcW w:w="859" w:type="dxa"/>
            <w:tcBorders/>
            <w:shd w:color="auto" w:fill="auto" w:val="clear"/>
            <w:vAlign w:val="center"/>
          </w:tcPr>
          <w:p>
            <w:pPr>
              <w:pStyle w:val="Normal"/>
              <w:widowControl w:val="false"/>
              <w:spacing w:before="0" w:after="60"/>
              <w:jc w:val="center"/>
              <w:rPr>
                <w:color w:val="000000"/>
              </w:rPr>
            </w:pPr>
            <w:r>
              <w:rPr>
                <w:color w:val="000000"/>
              </w:rPr>
              <w:t>15.24</w:t>
            </w:r>
          </w:p>
        </w:tc>
        <w:tc>
          <w:tcPr>
            <w:tcW w:w="716" w:type="dxa"/>
            <w:tcBorders/>
            <w:shd w:color="auto" w:fill="auto" w:val="clear"/>
            <w:vAlign w:val="center"/>
          </w:tcPr>
          <w:p>
            <w:pPr>
              <w:pStyle w:val="Normal"/>
              <w:widowControl w:val="false"/>
              <w:spacing w:before="0" w:after="60"/>
              <w:jc w:val="center"/>
              <w:rPr>
                <w:color w:val="000000"/>
              </w:rPr>
            </w:pPr>
            <w:r>
              <w:rPr>
                <w:color w:val="000000"/>
              </w:rPr>
              <w:t>75.82</w:t>
            </w:r>
          </w:p>
        </w:tc>
        <w:tc>
          <w:tcPr>
            <w:tcW w:w="725" w:type="dxa"/>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shd w:color="auto" w:fill="auto" w:val="clear"/>
            <w:vAlign w:val="center"/>
          </w:tcPr>
          <w:p>
            <w:pPr>
              <w:pStyle w:val="Normal"/>
              <w:widowControl w:val="false"/>
              <w:spacing w:before="0" w:after="60"/>
              <w:jc w:val="center"/>
              <w:rPr>
                <w:color w:val="000000"/>
              </w:rPr>
            </w:pPr>
            <w:r>
              <w:rPr>
                <w:color w:val="000000"/>
              </w:rPr>
              <w:t>3.48</w:t>
            </w:r>
          </w:p>
        </w:tc>
        <w:tc>
          <w:tcPr>
            <w:tcW w:w="591" w:type="dxa"/>
            <w:tcBorders/>
            <w:shd w:color="auto" w:fill="auto" w:val="clear"/>
            <w:vAlign w:val="center"/>
          </w:tcPr>
          <w:p>
            <w:pPr>
              <w:pStyle w:val="Normal"/>
              <w:widowControl w:val="false"/>
              <w:spacing w:before="0" w:after="60"/>
              <w:jc w:val="center"/>
              <w:rPr>
                <w:color w:val="000000"/>
              </w:rPr>
            </w:pPr>
            <w:r>
              <w:rPr>
                <w:color w:val="000000"/>
              </w:rPr>
              <w:t>0.39</w:t>
            </w:r>
          </w:p>
        </w:tc>
        <w:tc>
          <w:tcPr>
            <w:tcW w:w="675" w:type="dxa"/>
            <w:tcBorders/>
            <w:shd w:color="auto" w:fill="auto" w:val="clear"/>
            <w:vAlign w:val="center"/>
          </w:tcPr>
          <w:p>
            <w:pPr>
              <w:pStyle w:val="Normal"/>
              <w:widowControl w:val="false"/>
              <w:spacing w:before="0" w:after="60"/>
              <w:jc w:val="center"/>
              <w:rPr>
                <w:color w:val="000000"/>
              </w:rPr>
            </w:pPr>
            <w:r>
              <w:rPr>
                <w:color w:val="000000"/>
              </w:rPr>
              <w:t>0.06</w:t>
            </w:r>
          </w:p>
        </w:tc>
        <w:tc>
          <w:tcPr>
            <w:tcW w:w="675" w:type="dxa"/>
            <w:tcBorders/>
            <w:shd w:color="auto" w:fill="auto" w:val="clear"/>
            <w:vAlign w:val="center"/>
          </w:tcPr>
          <w:p>
            <w:pPr>
              <w:pStyle w:val="Normal"/>
              <w:widowControl w:val="false"/>
              <w:spacing w:before="0" w:after="60"/>
              <w:jc w:val="center"/>
              <w:rPr>
                <w:color w:val="000000"/>
              </w:rPr>
            </w:pPr>
            <w:r>
              <w:rPr>
                <w:color w:val="000000"/>
              </w:rPr>
              <w:t>0.06</w:t>
            </w:r>
          </w:p>
        </w:tc>
        <w:tc>
          <w:tcPr>
            <w:tcW w:w="859" w:type="dxa"/>
            <w:tcBorders/>
            <w:shd w:color="auto" w:fill="auto" w:val="clear"/>
            <w:vAlign w:val="center"/>
          </w:tcPr>
          <w:p>
            <w:pPr>
              <w:pStyle w:val="Normal"/>
              <w:widowControl w:val="false"/>
              <w:spacing w:before="0" w:after="60"/>
              <w:jc w:val="center"/>
              <w:rPr>
                <w:color w:val="000000"/>
              </w:rPr>
            </w:pPr>
            <w:r>
              <w:rPr>
                <w:color w:val="000000"/>
              </w:rPr>
              <w:t>0.80</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6.39</w:t>
            </w:r>
          </w:p>
        </w:tc>
        <w:tc>
          <w:tcPr>
            <w:tcW w:w="676" w:type="dxa"/>
            <w:tcBorders/>
            <w:shd w:color="auto" w:fill="auto" w:val="clear"/>
            <w:vAlign w:val="center"/>
          </w:tcPr>
          <w:p>
            <w:pPr>
              <w:pStyle w:val="Normal"/>
              <w:widowControl w:val="false"/>
              <w:spacing w:before="0" w:after="60"/>
              <w:jc w:val="center"/>
              <w:rPr>
                <w:color w:val="000000"/>
              </w:rPr>
            </w:pPr>
            <w:r>
              <w:rPr>
                <w:color w:val="000000"/>
              </w:rPr>
              <w:t>0.19</w:t>
            </w:r>
          </w:p>
        </w:tc>
        <w:tc>
          <w:tcPr>
            <w:tcW w:w="859" w:type="dxa"/>
            <w:tcBorders/>
            <w:shd w:color="auto" w:fill="auto" w:val="clear"/>
            <w:vAlign w:val="center"/>
          </w:tcPr>
          <w:p>
            <w:pPr>
              <w:pStyle w:val="Normal"/>
              <w:widowControl w:val="false"/>
              <w:spacing w:before="0" w:after="60"/>
              <w:jc w:val="center"/>
              <w:rPr>
                <w:color w:val="000000"/>
              </w:rPr>
            </w:pPr>
            <w:r>
              <w:rPr>
                <w:color w:val="000000"/>
              </w:rPr>
              <w:t>14.98</w:t>
            </w:r>
          </w:p>
        </w:tc>
        <w:tc>
          <w:tcPr>
            <w:tcW w:w="716" w:type="dxa"/>
            <w:tcBorders/>
            <w:shd w:color="auto" w:fill="auto" w:val="clear"/>
            <w:vAlign w:val="center"/>
          </w:tcPr>
          <w:p>
            <w:pPr>
              <w:pStyle w:val="Normal"/>
              <w:widowControl w:val="false"/>
              <w:spacing w:before="0" w:after="60"/>
              <w:jc w:val="center"/>
              <w:rPr>
                <w:color w:val="000000"/>
              </w:rPr>
            </w:pPr>
            <w:r>
              <w:rPr>
                <w:color w:val="000000"/>
              </w:rPr>
              <w:t>75.48</w:t>
            </w:r>
          </w:p>
        </w:tc>
        <w:tc>
          <w:tcPr>
            <w:tcW w:w="725" w:type="dxa"/>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shd w:color="auto" w:fill="auto" w:val="clear"/>
            <w:vAlign w:val="center"/>
          </w:tcPr>
          <w:p>
            <w:pPr>
              <w:pStyle w:val="Normal"/>
              <w:widowControl w:val="false"/>
              <w:spacing w:before="0" w:after="60"/>
              <w:jc w:val="center"/>
              <w:rPr>
                <w:color w:val="000000"/>
              </w:rPr>
            </w:pPr>
            <w:r>
              <w:rPr>
                <w:color w:val="000000"/>
              </w:rPr>
              <w:t>3.10</w:t>
            </w:r>
          </w:p>
        </w:tc>
        <w:tc>
          <w:tcPr>
            <w:tcW w:w="591" w:type="dxa"/>
            <w:tcBorders/>
            <w:shd w:color="auto" w:fill="auto" w:val="clear"/>
            <w:vAlign w:val="center"/>
          </w:tcPr>
          <w:p>
            <w:pPr>
              <w:pStyle w:val="Normal"/>
              <w:widowControl w:val="false"/>
              <w:spacing w:before="0" w:after="60"/>
              <w:jc w:val="center"/>
              <w:rPr>
                <w:color w:val="000000"/>
              </w:rPr>
            </w:pPr>
            <w:r>
              <w:rPr>
                <w:color w:val="000000"/>
              </w:rPr>
              <w:t>0.34</w:t>
            </w:r>
          </w:p>
        </w:tc>
        <w:tc>
          <w:tcPr>
            <w:tcW w:w="675" w:type="dxa"/>
            <w:tcBorders/>
            <w:shd w:color="auto" w:fill="auto" w:val="clear"/>
            <w:vAlign w:val="center"/>
          </w:tcPr>
          <w:p>
            <w:pPr>
              <w:pStyle w:val="Normal"/>
              <w:widowControl w:val="false"/>
              <w:spacing w:before="0" w:after="60"/>
              <w:jc w:val="center"/>
              <w:rPr>
                <w:color w:val="000000"/>
              </w:rPr>
            </w:pPr>
            <w:r>
              <w:rPr>
                <w:color w:val="000000"/>
              </w:rPr>
              <w:t>0.05</w:t>
            </w:r>
          </w:p>
        </w:tc>
        <w:tc>
          <w:tcPr>
            <w:tcW w:w="675" w:type="dxa"/>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shd w:color="auto" w:fill="auto" w:val="clear"/>
            <w:vAlign w:val="center"/>
          </w:tcPr>
          <w:p>
            <w:pPr>
              <w:pStyle w:val="Normal"/>
              <w:widowControl w:val="false"/>
              <w:spacing w:before="0" w:after="60"/>
              <w:jc w:val="center"/>
              <w:rPr>
                <w:color w:val="000000"/>
              </w:rPr>
            </w:pPr>
            <w:r>
              <w:rPr>
                <w:color w:val="000000"/>
              </w:rPr>
              <w:t>0.68</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7.29</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0.24</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15.65</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76.03</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3.75</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0.44</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0.07</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0.06</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0.90</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PERQ8</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6.53</w:t>
            </w:r>
          </w:p>
        </w:tc>
        <w:tc>
          <w:tcPr>
            <w:tcW w:w="676" w:type="dxa"/>
            <w:tcBorders/>
            <w:shd w:color="auto" w:fill="auto" w:val="clear"/>
            <w:vAlign w:val="center"/>
          </w:tcPr>
          <w:p>
            <w:pPr>
              <w:pStyle w:val="Normal"/>
              <w:widowControl w:val="false"/>
              <w:spacing w:before="0" w:after="60"/>
              <w:jc w:val="center"/>
              <w:rPr>
                <w:color w:val="000000"/>
              </w:rPr>
            </w:pPr>
            <w:r>
              <w:rPr>
                <w:color w:val="000000"/>
              </w:rPr>
              <w:t>0.54</w:t>
            </w:r>
          </w:p>
        </w:tc>
        <w:tc>
          <w:tcPr>
            <w:tcW w:w="859" w:type="dxa"/>
            <w:tcBorders/>
            <w:shd w:color="auto" w:fill="auto" w:val="clear"/>
            <w:vAlign w:val="center"/>
          </w:tcPr>
          <w:p>
            <w:pPr>
              <w:pStyle w:val="Normal"/>
              <w:widowControl w:val="false"/>
              <w:spacing w:before="0" w:after="60"/>
              <w:jc w:val="center"/>
              <w:rPr>
                <w:color w:val="000000"/>
              </w:rPr>
            </w:pPr>
            <w:r>
              <w:rPr>
                <w:color w:val="000000"/>
              </w:rPr>
              <w:t>14.60</w:t>
            </w:r>
          </w:p>
        </w:tc>
        <w:tc>
          <w:tcPr>
            <w:tcW w:w="716" w:type="dxa"/>
            <w:tcBorders/>
            <w:shd w:color="auto" w:fill="auto" w:val="clear"/>
            <w:vAlign w:val="center"/>
          </w:tcPr>
          <w:p>
            <w:pPr>
              <w:pStyle w:val="Normal"/>
              <w:widowControl w:val="false"/>
              <w:spacing w:before="0" w:after="60"/>
              <w:jc w:val="center"/>
              <w:rPr>
                <w:color w:val="000000"/>
              </w:rPr>
            </w:pPr>
            <w:r>
              <w:rPr>
                <w:color w:val="000000"/>
              </w:rPr>
              <w:t>76.58</w:t>
            </w:r>
          </w:p>
        </w:tc>
        <w:tc>
          <w:tcPr>
            <w:tcW w:w="725" w:type="dxa"/>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shd w:color="auto" w:fill="auto" w:val="clear"/>
            <w:vAlign w:val="center"/>
          </w:tcPr>
          <w:p>
            <w:pPr>
              <w:pStyle w:val="Normal"/>
              <w:widowControl w:val="false"/>
              <w:spacing w:before="0" w:after="60"/>
              <w:jc w:val="center"/>
              <w:rPr>
                <w:color w:val="000000"/>
              </w:rPr>
            </w:pPr>
            <w:r>
              <w:rPr>
                <w:color w:val="000000"/>
              </w:rPr>
              <w:t>2.55</w:t>
            </w:r>
          </w:p>
        </w:tc>
        <w:tc>
          <w:tcPr>
            <w:tcW w:w="591" w:type="dxa"/>
            <w:tcBorders/>
            <w:shd w:color="auto" w:fill="auto" w:val="clear"/>
            <w:vAlign w:val="center"/>
          </w:tcPr>
          <w:p>
            <w:pPr>
              <w:pStyle w:val="Normal"/>
              <w:widowControl w:val="false"/>
              <w:spacing w:before="0" w:after="60"/>
              <w:jc w:val="center"/>
              <w:rPr>
                <w:color w:val="000000"/>
              </w:rPr>
            </w:pPr>
            <w:r>
              <w:rPr>
                <w:color w:val="000000"/>
              </w:rPr>
              <w:t>0.69</w:t>
            </w:r>
          </w:p>
        </w:tc>
        <w:tc>
          <w:tcPr>
            <w:tcW w:w="675" w:type="dxa"/>
            <w:tcBorders/>
            <w:shd w:color="auto" w:fill="auto" w:val="clear"/>
            <w:vAlign w:val="center"/>
          </w:tcPr>
          <w:p>
            <w:pPr>
              <w:pStyle w:val="Normal"/>
              <w:widowControl w:val="false"/>
              <w:spacing w:before="0" w:after="60"/>
              <w:jc w:val="center"/>
              <w:rPr>
                <w:color w:val="000000"/>
              </w:rPr>
            </w:pPr>
            <w:r>
              <w:rPr>
                <w:color w:val="000000"/>
              </w:rPr>
              <w:t>0.08</w:t>
            </w:r>
          </w:p>
        </w:tc>
        <w:tc>
          <w:tcPr>
            <w:tcW w:w="675" w:type="dxa"/>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shd w:color="auto" w:fill="auto" w:val="clear"/>
            <w:vAlign w:val="center"/>
          </w:tcPr>
          <w:p>
            <w:pPr>
              <w:pStyle w:val="Normal"/>
              <w:widowControl w:val="false"/>
              <w:spacing w:before="0" w:after="60"/>
              <w:jc w:val="center"/>
              <w:rPr>
                <w:color w:val="000000"/>
              </w:rPr>
            </w:pPr>
            <w:r>
              <w:rPr>
                <w:color w:val="000000"/>
              </w:rPr>
              <w:t>0.80</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4.11</w:t>
            </w:r>
          </w:p>
        </w:tc>
        <w:tc>
          <w:tcPr>
            <w:tcW w:w="676" w:type="dxa"/>
            <w:tcBorders/>
            <w:shd w:color="auto" w:fill="auto" w:val="clear"/>
            <w:vAlign w:val="center"/>
          </w:tcPr>
          <w:p>
            <w:pPr>
              <w:pStyle w:val="Normal"/>
              <w:widowControl w:val="false"/>
              <w:spacing w:before="0" w:after="60"/>
              <w:jc w:val="center"/>
              <w:rPr>
                <w:color w:val="000000"/>
              </w:rPr>
            </w:pPr>
            <w:r>
              <w:rPr>
                <w:color w:val="000000"/>
              </w:rPr>
              <w:t>0.45</w:t>
            </w:r>
          </w:p>
        </w:tc>
        <w:tc>
          <w:tcPr>
            <w:tcW w:w="859" w:type="dxa"/>
            <w:tcBorders/>
            <w:shd w:color="auto" w:fill="auto" w:val="clear"/>
            <w:vAlign w:val="center"/>
          </w:tcPr>
          <w:p>
            <w:pPr>
              <w:pStyle w:val="Normal"/>
              <w:widowControl w:val="false"/>
              <w:spacing w:before="0" w:after="60"/>
              <w:jc w:val="center"/>
              <w:rPr>
                <w:color w:val="000000"/>
              </w:rPr>
            </w:pPr>
            <w:r>
              <w:rPr>
                <w:color w:val="000000"/>
              </w:rPr>
              <w:t>13.41</w:t>
            </w:r>
          </w:p>
        </w:tc>
        <w:tc>
          <w:tcPr>
            <w:tcW w:w="716" w:type="dxa"/>
            <w:tcBorders/>
            <w:shd w:color="auto" w:fill="auto" w:val="clear"/>
            <w:vAlign w:val="center"/>
          </w:tcPr>
          <w:p>
            <w:pPr>
              <w:pStyle w:val="Normal"/>
              <w:widowControl w:val="false"/>
              <w:spacing w:before="0" w:after="60"/>
              <w:jc w:val="center"/>
              <w:rPr>
                <w:color w:val="000000"/>
              </w:rPr>
            </w:pPr>
            <w:r>
              <w:rPr>
                <w:color w:val="000000"/>
              </w:rPr>
              <w:t>75.19</w:t>
            </w:r>
          </w:p>
        </w:tc>
        <w:tc>
          <w:tcPr>
            <w:tcW w:w="725" w:type="dxa"/>
            <w:tcBorders/>
            <w:shd w:color="auto" w:fill="auto" w:val="clear"/>
            <w:vAlign w:val="center"/>
          </w:tcPr>
          <w:p>
            <w:pPr>
              <w:pStyle w:val="Normal"/>
              <w:widowControl w:val="false"/>
              <w:spacing w:before="0" w:after="60"/>
              <w:jc w:val="center"/>
              <w:rPr>
                <w:color w:val="000000"/>
              </w:rPr>
            </w:pPr>
            <w:r>
              <w:rPr>
                <w:color w:val="000000"/>
              </w:rPr>
              <w:t>0.01</w:t>
            </w:r>
          </w:p>
        </w:tc>
        <w:tc>
          <w:tcPr>
            <w:tcW w:w="623" w:type="dxa"/>
            <w:tcBorders/>
            <w:shd w:color="auto" w:fill="auto" w:val="clear"/>
            <w:vAlign w:val="center"/>
          </w:tcPr>
          <w:p>
            <w:pPr>
              <w:pStyle w:val="Normal"/>
              <w:widowControl w:val="false"/>
              <w:spacing w:before="0" w:after="60"/>
              <w:jc w:val="center"/>
              <w:rPr>
                <w:color w:val="000000"/>
              </w:rPr>
            </w:pPr>
            <w:r>
              <w:rPr>
                <w:color w:val="000000"/>
              </w:rPr>
              <w:t>2.02</w:t>
            </w:r>
          </w:p>
        </w:tc>
        <w:tc>
          <w:tcPr>
            <w:tcW w:w="591" w:type="dxa"/>
            <w:tcBorders/>
            <w:shd w:color="auto" w:fill="auto" w:val="clear"/>
            <w:vAlign w:val="center"/>
          </w:tcPr>
          <w:p>
            <w:pPr>
              <w:pStyle w:val="Normal"/>
              <w:widowControl w:val="false"/>
              <w:spacing w:before="0" w:after="60"/>
              <w:jc w:val="center"/>
              <w:rPr>
                <w:color w:val="000000"/>
              </w:rPr>
            </w:pPr>
            <w:r>
              <w:rPr>
                <w:color w:val="000000"/>
              </w:rPr>
              <w:t>0.53</w:t>
            </w:r>
          </w:p>
        </w:tc>
        <w:tc>
          <w:tcPr>
            <w:tcW w:w="675" w:type="dxa"/>
            <w:tcBorders/>
            <w:shd w:color="auto" w:fill="auto" w:val="clear"/>
            <w:vAlign w:val="center"/>
          </w:tcPr>
          <w:p>
            <w:pPr>
              <w:pStyle w:val="Normal"/>
              <w:widowControl w:val="false"/>
              <w:spacing w:before="0" w:after="60"/>
              <w:jc w:val="center"/>
              <w:rPr>
                <w:color w:val="000000"/>
              </w:rPr>
            </w:pPr>
            <w:r>
              <w:rPr>
                <w:color w:val="000000"/>
              </w:rPr>
              <w:t>0.06</w:t>
            </w:r>
          </w:p>
        </w:tc>
        <w:tc>
          <w:tcPr>
            <w:tcW w:w="675" w:type="dxa"/>
            <w:tcBorders/>
            <w:shd w:color="auto" w:fill="auto" w:val="clear"/>
            <w:vAlign w:val="center"/>
          </w:tcPr>
          <w:p>
            <w:pPr>
              <w:pStyle w:val="Normal"/>
              <w:widowControl w:val="false"/>
              <w:spacing w:before="0" w:after="60"/>
              <w:jc w:val="center"/>
              <w:rPr>
                <w:color w:val="000000"/>
              </w:rPr>
            </w:pPr>
            <w:r>
              <w:rPr>
                <w:color w:val="000000"/>
              </w:rPr>
              <w:t>0.04</w:t>
            </w:r>
          </w:p>
        </w:tc>
        <w:tc>
          <w:tcPr>
            <w:tcW w:w="859" w:type="dxa"/>
            <w:tcBorders/>
            <w:shd w:color="auto" w:fill="auto" w:val="clear"/>
            <w:vAlign w:val="center"/>
          </w:tcPr>
          <w:p>
            <w:pPr>
              <w:pStyle w:val="Normal"/>
              <w:widowControl w:val="false"/>
              <w:spacing w:before="0" w:after="60"/>
              <w:jc w:val="center"/>
              <w:rPr>
                <w:color w:val="000000"/>
              </w:rPr>
            </w:pPr>
            <w:r>
              <w:rPr>
                <w:color w:val="000000"/>
              </w:rPr>
              <w:t>0.59</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8.51</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0.59</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15.35</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79.09</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3.10</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0.85</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0.10</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0.06</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1.02</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PERQ9</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3.91</w:t>
            </w:r>
          </w:p>
        </w:tc>
        <w:tc>
          <w:tcPr>
            <w:tcW w:w="676" w:type="dxa"/>
            <w:tcBorders/>
            <w:shd w:color="auto" w:fill="auto" w:val="clear"/>
            <w:vAlign w:val="center"/>
          </w:tcPr>
          <w:p>
            <w:pPr>
              <w:pStyle w:val="Normal"/>
              <w:widowControl w:val="false"/>
              <w:spacing w:before="0" w:after="60"/>
              <w:jc w:val="center"/>
              <w:rPr>
                <w:color w:val="000000"/>
              </w:rPr>
            </w:pPr>
            <w:r>
              <w:rPr>
                <w:color w:val="000000"/>
              </w:rPr>
              <w:t>0.99</w:t>
            </w:r>
          </w:p>
        </w:tc>
        <w:tc>
          <w:tcPr>
            <w:tcW w:w="859" w:type="dxa"/>
            <w:tcBorders/>
            <w:shd w:color="auto" w:fill="auto" w:val="clear"/>
            <w:vAlign w:val="center"/>
          </w:tcPr>
          <w:p>
            <w:pPr>
              <w:pStyle w:val="Normal"/>
              <w:widowControl w:val="false"/>
              <w:spacing w:before="0" w:after="60"/>
              <w:jc w:val="center"/>
              <w:rPr>
                <w:color w:val="000000"/>
              </w:rPr>
            </w:pPr>
            <w:r>
              <w:rPr>
                <w:color w:val="000000"/>
              </w:rPr>
              <w:t>16.60</w:t>
            </w:r>
          </w:p>
        </w:tc>
        <w:tc>
          <w:tcPr>
            <w:tcW w:w="716" w:type="dxa"/>
            <w:tcBorders/>
            <w:shd w:color="auto" w:fill="auto" w:val="clear"/>
            <w:vAlign w:val="center"/>
          </w:tcPr>
          <w:p>
            <w:pPr>
              <w:pStyle w:val="Normal"/>
              <w:widowControl w:val="false"/>
              <w:spacing w:before="0" w:after="60"/>
              <w:jc w:val="center"/>
              <w:rPr>
                <w:color w:val="000000"/>
              </w:rPr>
            </w:pPr>
            <w:r>
              <w:rPr>
                <w:color w:val="000000"/>
              </w:rPr>
              <w:t>75.77</w:t>
            </w:r>
          </w:p>
        </w:tc>
        <w:tc>
          <w:tcPr>
            <w:tcW w:w="725" w:type="dxa"/>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shd w:color="auto" w:fill="auto" w:val="clear"/>
            <w:vAlign w:val="center"/>
          </w:tcPr>
          <w:p>
            <w:pPr>
              <w:pStyle w:val="Normal"/>
              <w:widowControl w:val="false"/>
              <w:spacing w:before="0" w:after="60"/>
              <w:jc w:val="center"/>
              <w:rPr>
                <w:color w:val="000000"/>
              </w:rPr>
            </w:pPr>
            <w:r>
              <w:rPr>
                <w:color w:val="000000"/>
              </w:rPr>
              <w:t>3.98</w:t>
            </w:r>
          </w:p>
        </w:tc>
        <w:tc>
          <w:tcPr>
            <w:tcW w:w="591" w:type="dxa"/>
            <w:tcBorders/>
            <w:shd w:color="auto" w:fill="auto" w:val="clear"/>
            <w:vAlign w:val="center"/>
          </w:tcPr>
          <w:p>
            <w:pPr>
              <w:pStyle w:val="Normal"/>
              <w:widowControl w:val="false"/>
              <w:spacing w:before="0" w:after="60"/>
              <w:jc w:val="center"/>
              <w:rPr>
                <w:color w:val="000000"/>
              </w:rPr>
            </w:pPr>
            <w:r>
              <w:rPr>
                <w:color w:val="000000"/>
              </w:rPr>
              <w:t>0.63</w:t>
            </w:r>
          </w:p>
        </w:tc>
        <w:tc>
          <w:tcPr>
            <w:tcW w:w="675" w:type="dxa"/>
            <w:tcBorders/>
            <w:shd w:color="auto" w:fill="auto" w:val="clear"/>
            <w:vAlign w:val="center"/>
          </w:tcPr>
          <w:p>
            <w:pPr>
              <w:pStyle w:val="Normal"/>
              <w:widowControl w:val="false"/>
              <w:spacing w:before="0" w:after="60"/>
              <w:jc w:val="center"/>
              <w:rPr>
                <w:color w:val="000000"/>
              </w:rPr>
            </w:pPr>
            <w:r>
              <w:rPr>
                <w:color w:val="000000"/>
              </w:rPr>
              <w:t>0.10</w:t>
            </w:r>
          </w:p>
        </w:tc>
        <w:tc>
          <w:tcPr>
            <w:tcW w:w="675" w:type="dxa"/>
            <w:tcBorders/>
            <w:shd w:color="auto" w:fill="auto" w:val="clear"/>
            <w:vAlign w:val="center"/>
          </w:tcPr>
          <w:p>
            <w:pPr>
              <w:pStyle w:val="Normal"/>
              <w:widowControl w:val="false"/>
              <w:spacing w:before="0" w:after="60"/>
              <w:jc w:val="center"/>
              <w:rPr>
                <w:color w:val="000000"/>
              </w:rPr>
            </w:pPr>
            <w:r>
              <w:rPr>
                <w:color w:val="000000"/>
              </w:rPr>
              <w:t>0.04</w:t>
            </w:r>
          </w:p>
        </w:tc>
        <w:tc>
          <w:tcPr>
            <w:tcW w:w="859" w:type="dxa"/>
            <w:tcBorders/>
            <w:shd w:color="auto" w:fill="auto" w:val="clear"/>
            <w:vAlign w:val="center"/>
          </w:tcPr>
          <w:p>
            <w:pPr>
              <w:pStyle w:val="Normal"/>
              <w:widowControl w:val="false"/>
              <w:spacing w:before="0" w:after="60"/>
              <w:jc w:val="center"/>
              <w:rPr>
                <w:color w:val="000000"/>
              </w:rPr>
            </w:pPr>
            <w:r>
              <w:rPr>
                <w:color w:val="000000"/>
              </w:rPr>
              <w:t>0.65</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3.69</w:t>
            </w:r>
          </w:p>
        </w:tc>
        <w:tc>
          <w:tcPr>
            <w:tcW w:w="676" w:type="dxa"/>
            <w:tcBorders/>
            <w:shd w:color="auto" w:fill="auto" w:val="clear"/>
            <w:vAlign w:val="center"/>
          </w:tcPr>
          <w:p>
            <w:pPr>
              <w:pStyle w:val="Normal"/>
              <w:widowControl w:val="false"/>
              <w:spacing w:before="0" w:after="60"/>
              <w:jc w:val="center"/>
              <w:rPr>
                <w:color w:val="000000"/>
              </w:rPr>
            </w:pPr>
            <w:r>
              <w:rPr>
                <w:color w:val="000000"/>
              </w:rPr>
              <w:t>0.95</w:t>
            </w:r>
          </w:p>
        </w:tc>
        <w:tc>
          <w:tcPr>
            <w:tcW w:w="859" w:type="dxa"/>
            <w:tcBorders/>
            <w:shd w:color="auto" w:fill="auto" w:val="clear"/>
            <w:vAlign w:val="center"/>
          </w:tcPr>
          <w:p>
            <w:pPr>
              <w:pStyle w:val="Normal"/>
              <w:widowControl w:val="false"/>
              <w:spacing w:before="0" w:after="60"/>
              <w:jc w:val="center"/>
              <w:rPr>
                <w:color w:val="000000"/>
              </w:rPr>
            </w:pPr>
            <w:r>
              <w:rPr>
                <w:color w:val="000000"/>
              </w:rPr>
              <w:t>16.21</w:t>
            </w:r>
          </w:p>
        </w:tc>
        <w:tc>
          <w:tcPr>
            <w:tcW w:w="716" w:type="dxa"/>
            <w:tcBorders/>
            <w:shd w:color="auto" w:fill="auto" w:val="clear"/>
            <w:vAlign w:val="center"/>
          </w:tcPr>
          <w:p>
            <w:pPr>
              <w:pStyle w:val="Normal"/>
              <w:widowControl w:val="false"/>
              <w:spacing w:before="0" w:after="60"/>
              <w:jc w:val="center"/>
              <w:rPr>
                <w:color w:val="000000"/>
              </w:rPr>
            </w:pPr>
            <w:r>
              <w:rPr>
                <w:color w:val="000000"/>
              </w:rPr>
              <w:t>75.58</w:t>
            </w:r>
          </w:p>
        </w:tc>
        <w:tc>
          <w:tcPr>
            <w:tcW w:w="725" w:type="dxa"/>
            <w:tcBorders/>
            <w:shd w:color="auto" w:fill="auto" w:val="clear"/>
            <w:vAlign w:val="center"/>
          </w:tcPr>
          <w:p>
            <w:pPr>
              <w:pStyle w:val="Normal"/>
              <w:widowControl w:val="false"/>
              <w:spacing w:before="0" w:after="60"/>
              <w:jc w:val="center"/>
              <w:rPr>
                <w:color w:val="000000"/>
              </w:rPr>
            </w:pPr>
            <w:r>
              <w:rPr>
                <w:color w:val="000000"/>
              </w:rPr>
              <w:t>0.02</w:t>
            </w:r>
          </w:p>
        </w:tc>
        <w:tc>
          <w:tcPr>
            <w:tcW w:w="623" w:type="dxa"/>
            <w:tcBorders/>
            <w:shd w:color="auto" w:fill="auto" w:val="clear"/>
            <w:vAlign w:val="center"/>
          </w:tcPr>
          <w:p>
            <w:pPr>
              <w:pStyle w:val="Normal"/>
              <w:widowControl w:val="false"/>
              <w:spacing w:before="0" w:after="60"/>
              <w:jc w:val="center"/>
              <w:rPr>
                <w:color w:val="000000"/>
              </w:rPr>
            </w:pPr>
            <w:r>
              <w:rPr>
                <w:color w:val="000000"/>
              </w:rPr>
              <w:t>3.49</w:t>
            </w:r>
          </w:p>
        </w:tc>
        <w:tc>
          <w:tcPr>
            <w:tcW w:w="591" w:type="dxa"/>
            <w:tcBorders/>
            <w:shd w:color="auto" w:fill="auto" w:val="clear"/>
            <w:vAlign w:val="center"/>
          </w:tcPr>
          <w:p>
            <w:pPr>
              <w:pStyle w:val="Normal"/>
              <w:widowControl w:val="false"/>
              <w:spacing w:before="0" w:after="60"/>
              <w:jc w:val="center"/>
              <w:rPr>
                <w:color w:val="000000"/>
              </w:rPr>
            </w:pPr>
            <w:r>
              <w:rPr>
                <w:color w:val="000000"/>
              </w:rPr>
              <w:t>0.52</w:t>
            </w:r>
          </w:p>
        </w:tc>
        <w:tc>
          <w:tcPr>
            <w:tcW w:w="675" w:type="dxa"/>
            <w:tcBorders/>
            <w:shd w:color="auto" w:fill="auto" w:val="clear"/>
            <w:vAlign w:val="center"/>
          </w:tcPr>
          <w:p>
            <w:pPr>
              <w:pStyle w:val="Normal"/>
              <w:widowControl w:val="false"/>
              <w:spacing w:before="0" w:after="60"/>
              <w:jc w:val="center"/>
              <w:rPr>
                <w:color w:val="000000"/>
              </w:rPr>
            </w:pPr>
            <w:r>
              <w:rPr>
                <w:color w:val="000000"/>
              </w:rPr>
              <w:t>0.09</w:t>
            </w:r>
          </w:p>
        </w:tc>
        <w:tc>
          <w:tcPr>
            <w:tcW w:w="675" w:type="dxa"/>
            <w:tcBorders/>
            <w:shd w:color="auto" w:fill="auto" w:val="clear"/>
            <w:vAlign w:val="center"/>
          </w:tcPr>
          <w:p>
            <w:pPr>
              <w:pStyle w:val="Normal"/>
              <w:widowControl w:val="false"/>
              <w:spacing w:before="0" w:after="60"/>
              <w:jc w:val="center"/>
              <w:rPr>
                <w:color w:val="000000"/>
              </w:rPr>
            </w:pPr>
            <w:r>
              <w:rPr>
                <w:color w:val="000000"/>
              </w:rPr>
              <w:t>0.03</w:t>
            </w:r>
          </w:p>
        </w:tc>
        <w:tc>
          <w:tcPr>
            <w:tcW w:w="859" w:type="dxa"/>
            <w:tcBorders/>
            <w:shd w:color="auto" w:fill="auto" w:val="clear"/>
            <w:vAlign w:val="center"/>
          </w:tcPr>
          <w:p>
            <w:pPr>
              <w:pStyle w:val="Normal"/>
              <w:widowControl w:val="false"/>
              <w:spacing w:before="0" w:after="60"/>
              <w:jc w:val="center"/>
              <w:rPr>
                <w:color w:val="000000"/>
              </w:rPr>
            </w:pPr>
            <w:r>
              <w:rPr>
                <w:color w:val="000000"/>
              </w:rPr>
              <w:t>0.56</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4.25</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1.07</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17.17</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76.00</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4.26</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0.69</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0.12</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0.04</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0.75</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PERQ10</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6.88</w:t>
            </w:r>
          </w:p>
        </w:tc>
        <w:tc>
          <w:tcPr>
            <w:tcW w:w="676" w:type="dxa"/>
            <w:tcBorders/>
            <w:shd w:color="auto" w:fill="auto" w:val="clear"/>
            <w:vAlign w:val="center"/>
          </w:tcPr>
          <w:p>
            <w:pPr>
              <w:pStyle w:val="Normal"/>
              <w:widowControl w:val="false"/>
              <w:spacing w:before="0" w:after="60"/>
              <w:jc w:val="center"/>
              <w:rPr>
                <w:color w:val="000000"/>
              </w:rPr>
            </w:pPr>
            <w:r>
              <w:rPr>
                <w:color w:val="000000"/>
              </w:rPr>
              <w:t>0.40</w:t>
            </w:r>
          </w:p>
        </w:tc>
        <w:tc>
          <w:tcPr>
            <w:tcW w:w="859" w:type="dxa"/>
            <w:tcBorders/>
            <w:shd w:color="auto" w:fill="auto" w:val="clear"/>
            <w:vAlign w:val="center"/>
          </w:tcPr>
          <w:p>
            <w:pPr>
              <w:pStyle w:val="Normal"/>
              <w:widowControl w:val="false"/>
              <w:spacing w:before="0" w:after="60"/>
              <w:jc w:val="center"/>
              <w:rPr>
                <w:color w:val="000000"/>
              </w:rPr>
            </w:pPr>
            <w:r>
              <w:rPr>
                <w:color w:val="000000"/>
              </w:rPr>
              <w:t>15.81</w:t>
            </w:r>
          </w:p>
        </w:tc>
        <w:tc>
          <w:tcPr>
            <w:tcW w:w="716" w:type="dxa"/>
            <w:tcBorders/>
            <w:shd w:color="auto" w:fill="auto" w:val="clear"/>
            <w:vAlign w:val="center"/>
          </w:tcPr>
          <w:p>
            <w:pPr>
              <w:pStyle w:val="Normal"/>
              <w:widowControl w:val="false"/>
              <w:spacing w:before="0" w:after="60"/>
              <w:jc w:val="center"/>
              <w:rPr>
                <w:color w:val="000000"/>
              </w:rPr>
            </w:pPr>
            <w:r>
              <w:rPr>
                <w:color w:val="000000"/>
              </w:rPr>
              <w:t>73.60</w:t>
            </w:r>
          </w:p>
        </w:tc>
        <w:tc>
          <w:tcPr>
            <w:tcW w:w="725" w:type="dxa"/>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shd w:color="auto" w:fill="auto" w:val="clear"/>
            <w:vAlign w:val="center"/>
          </w:tcPr>
          <w:p>
            <w:pPr>
              <w:pStyle w:val="Normal"/>
              <w:widowControl w:val="false"/>
              <w:spacing w:before="0" w:after="60"/>
              <w:jc w:val="center"/>
              <w:rPr>
                <w:color w:val="000000"/>
              </w:rPr>
            </w:pPr>
            <w:r>
              <w:rPr>
                <w:color w:val="000000"/>
              </w:rPr>
              <w:t>3.56</w:t>
            </w:r>
          </w:p>
        </w:tc>
        <w:tc>
          <w:tcPr>
            <w:tcW w:w="591" w:type="dxa"/>
            <w:tcBorders/>
            <w:shd w:color="auto" w:fill="auto" w:val="clear"/>
            <w:vAlign w:val="center"/>
          </w:tcPr>
          <w:p>
            <w:pPr>
              <w:pStyle w:val="Normal"/>
              <w:widowControl w:val="false"/>
              <w:spacing w:before="0" w:after="60"/>
              <w:jc w:val="center"/>
              <w:rPr>
                <w:color w:val="000000"/>
              </w:rPr>
            </w:pPr>
            <w:r>
              <w:rPr>
                <w:color w:val="000000"/>
              </w:rPr>
              <w:t>1.11</w:t>
            </w:r>
          </w:p>
        </w:tc>
        <w:tc>
          <w:tcPr>
            <w:tcW w:w="675" w:type="dxa"/>
            <w:tcBorders/>
            <w:shd w:color="auto" w:fill="auto" w:val="clear"/>
            <w:vAlign w:val="center"/>
          </w:tcPr>
          <w:p>
            <w:pPr>
              <w:pStyle w:val="Normal"/>
              <w:widowControl w:val="false"/>
              <w:spacing w:before="0" w:after="60"/>
              <w:jc w:val="center"/>
              <w:rPr>
                <w:color w:val="000000"/>
              </w:rPr>
            </w:pPr>
            <w:r>
              <w:rPr>
                <w:color w:val="000000"/>
              </w:rPr>
              <w:t>0.13</w:t>
            </w:r>
          </w:p>
        </w:tc>
        <w:tc>
          <w:tcPr>
            <w:tcW w:w="675" w:type="dxa"/>
            <w:tcBorders/>
            <w:shd w:color="auto" w:fill="auto" w:val="clear"/>
            <w:vAlign w:val="center"/>
          </w:tcPr>
          <w:p>
            <w:pPr>
              <w:pStyle w:val="Normal"/>
              <w:widowControl w:val="false"/>
              <w:spacing w:before="0" w:after="60"/>
              <w:jc w:val="center"/>
              <w:rPr>
                <w:color w:val="000000"/>
              </w:rPr>
            </w:pPr>
            <w:r>
              <w:rPr>
                <w:color w:val="000000"/>
              </w:rPr>
              <w:t>0.06</w:t>
            </w:r>
          </w:p>
        </w:tc>
        <w:tc>
          <w:tcPr>
            <w:tcW w:w="859" w:type="dxa"/>
            <w:tcBorders/>
            <w:shd w:color="auto" w:fill="auto" w:val="clear"/>
            <w:vAlign w:val="center"/>
          </w:tcPr>
          <w:p>
            <w:pPr>
              <w:pStyle w:val="Normal"/>
              <w:widowControl w:val="false"/>
              <w:spacing w:before="0" w:after="60"/>
              <w:jc w:val="center"/>
              <w:rPr>
                <w:color w:val="000000"/>
              </w:rPr>
            </w:pPr>
            <w:r>
              <w:rPr>
                <w:color w:val="000000"/>
              </w:rPr>
              <w:t>1.19</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6.51</w:t>
            </w:r>
          </w:p>
        </w:tc>
        <w:tc>
          <w:tcPr>
            <w:tcW w:w="676" w:type="dxa"/>
            <w:tcBorders/>
            <w:shd w:color="auto" w:fill="auto" w:val="clear"/>
            <w:vAlign w:val="center"/>
          </w:tcPr>
          <w:p>
            <w:pPr>
              <w:pStyle w:val="Normal"/>
              <w:widowControl w:val="false"/>
              <w:spacing w:before="0" w:after="60"/>
              <w:jc w:val="center"/>
              <w:rPr>
                <w:color w:val="000000"/>
              </w:rPr>
            </w:pPr>
            <w:r>
              <w:rPr>
                <w:color w:val="000000"/>
              </w:rPr>
              <w:t>0.37</w:t>
            </w:r>
          </w:p>
        </w:tc>
        <w:tc>
          <w:tcPr>
            <w:tcW w:w="859" w:type="dxa"/>
            <w:tcBorders/>
            <w:shd w:color="auto" w:fill="auto" w:val="clear"/>
            <w:vAlign w:val="center"/>
          </w:tcPr>
          <w:p>
            <w:pPr>
              <w:pStyle w:val="Normal"/>
              <w:widowControl w:val="false"/>
              <w:spacing w:before="0" w:after="60"/>
              <w:jc w:val="center"/>
              <w:rPr>
                <w:color w:val="000000"/>
              </w:rPr>
            </w:pPr>
            <w:r>
              <w:rPr>
                <w:color w:val="000000"/>
              </w:rPr>
              <w:t>15.60</w:t>
            </w:r>
          </w:p>
        </w:tc>
        <w:tc>
          <w:tcPr>
            <w:tcW w:w="716" w:type="dxa"/>
            <w:tcBorders/>
            <w:shd w:color="auto" w:fill="auto" w:val="clear"/>
            <w:vAlign w:val="center"/>
          </w:tcPr>
          <w:p>
            <w:pPr>
              <w:pStyle w:val="Normal"/>
              <w:widowControl w:val="false"/>
              <w:spacing w:before="0" w:after="60"/>
              <w:jc w:val="center"/>
              <w:rPr>
                <w:color w:val="000000"/>
              </w:rPr>
            </w:pPr>
            <w:r>
              <w:rPr>
                <w:color w:val="000000"/>
              </w:rPr>
              <w:t>73.36</w:t>
            </w:r>
          </w:p>
        </w:tc>
        <w:tc>
          <w:tcPr>
            <w:tcW w:w="725" w:type="dxa"/>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shd w:color="auto" w:fill="auto" w:val="clear"/>
            <w:vAlign w:val="center"/>
          </w:tcPr>
          <w:p>
            <w:pPr>
              <w:pStyle w:val="Normal"/>
              <w:widowControl w:val="false"/>
              <w:spacing w:before="0" w:after="60"/>
              <w:jc w:val="center"/>
              <w:rPr>
                <w:color w:val="000000"/>
              </w:rPr>
            </w:pPr>
            <w:r>
              <w:rPr>
                <w:color w:val="000000"/>
              </w:rPr>
              <w:t>3.15</w:t>
            </w:r>
          </w:p>
        </w:tc>
        <w:tc>
          <w:tcPr>
            <w:tcW w:w="591" w:type="dxa"/>
            <w:tcBorders/>
            <w:shd w:color="auto" w:fill="auto" w:val="clear"/>
            <w:vAlign w:val="center"/>
          </w:tcPr>
          <w:p>
            <w:pPr>
              <w:pStyle w:val="Normal"/>
              <w:widowControl w:val="false"/>
              <w:spacing w:before="0" w:after="60"/>
              <w:jc w:val="center"/>
              <w:rPr>
                <w:color w:val="000000"/>
              </w:rPr>
            </w:pPr>
            <w:r>
              <w:rPr>
                <w:color w:val="000000"/>
              </w:rPr>
              <w:t>0.95</w:t>
            </w:r>
          </w:p>
        </w:tc>
        <w:tc>
          <w:tcPr>
            <w:tcW w:w="675" w:type="dxa"/>
            <w:tcBorders/>
            <w:shd w:color="auto" w:fill="auto" w:val="clear"/>
            <w:vAlign w:val="center"/>
          </w:tcPr>
          <w:p>
            <w:pPr>
              <w:pStyle w:val="Normal"/>
              <w:widowControl w:val="false"/>
              <w:spacing w:before="0" w:after="60"/>
              <w:jc w:val="center"/>
              <w:rPr>
                <w:color w:val="000000"/>
              </w:rPr>
            </w:pPr>
            <w:r>
              <w:rPr>
                <w:color w:val="000000"/>
              </w:rPr>
              <w:t>0.11</w:t>
            </w:r>
          </w:p>
        </w:tc>
        <w:tc>
          <w:tcPr>
            <w:tcW w:w="675" w:type="dxa"/>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shd w:color="auto" w:fill="auto" w:val="clear"/>
            <w:vAlign w:val="center"/>
          </w:tcPr>
          <w:p>
            <w:pPr>
              <w:pStyle w:val="Normal"/>
              <w:widowControl w:val="false"/>
              <w:spacing w:before="0" w:after="60"/>
              <w:jc w:val="center"/>
              <w:rPr>
                <w:color w:val="000000"/>
              </w:rPr>
            </w:pPr>
            <w:r>
              <w:rPr>
                <w:color w:val="000000"/>
              </w:rPr>
              <w:t>1.00</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7.37</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0.45</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16.33</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73.96</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3.75</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1.20</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0.14</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0.06</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1.28</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PERQ11</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center"/>
          </w:tcPr>
          <w:p>
            <w:pPr>
              <w:pStyle w:val="Normal"/>
              <w:widowControl w:val="false"/>
              <w:spacing w:before="0" w:after="60"/>
              <w:jc w:val="center"/>
              <w:rPr>
                <w:color w:val="000000"/>
              </w:rPr>
            </w:pPr>
            <w:r>
              <w:rPr>
                <w:color w:val="000000"/>
              </w:rPr>
              <w:t>6.92</w:t>
            </w:r>
          </w:p>
        </w:tc>
        <w:tc>
          <w:tcPr>
            <w:tcW w:w="676" w:type="dxa"/>
            <w:tcBorders/>
            <w:shd w:color="auto" w:fill="auto" w:val="clear"/>
            <w:vAlign w:val="center"/>
          </w:tcPr>
          <w:p>
            <w:pPr>
              <w:pStyle w:val="Normal"/>
              <w:widowControl w:val="false"/>
              <w:spacing w:before="0" w:after="60"/>
              <w:jc w:val="center"/>
              <w:rPr>
                <w:color w:val="000000"/>
              </w:rPr>
            </w:pPr>
            <w:r>
              <w:rPr>
                <w:color w:val="000000"/>
              </w:rPr>
              <w:t>0.38</w:t>
            </w:r>
          </w:p>
        </w:tc>
        <w:tc>
          <w:tcPr>
            <w:tcW w:w="859" w:type="dxa"/>
            <w:tcBorders/>
            <w:shd w:color="auto" w:fill="auto" w:val="clear"/>
            <w:vAlign w:val="center"/>
          </w:tcPr>
          <w:p>
            <w:pPr>
              <w:pStyle w:val="Normal"/>
              <w:widowControl w:val="false"/>
              <w:spacing w:before="0" w:after="60"/>
              <w:jc w:val="center"/>
              <w:rPr>
                <w:color w:val="000000"/>
              </w:rPr>
            </w:pPr>
            <w:r>
              <w:rPr>
                <w:color w:val="000000"/>
              </w:rPr>
              <w:t>15.74</w:t>
            </w:r>
          </w:p>
        </w:tc>
        <w:tc>
          <w:tcPr>
            <w:tcW w:w="716" w:type="dxa"/>
            <w:tcBorders/>
            <w:shd w:color="auto" w:fill="auto" w:val="clear"/>
            <w:vAlign w:val="center"/>
          </w:tcPr>
          <w:p>
            <w:pPr>
              <w:pStyle w:val="Normal"/>
              <w:widowControl w:val="false"/>
              <w:spacing w:before="0" w:after="60"/>
              <w:jc w:val="center"/>
              <w:rPr>
                <w:color w:val="000000"/>
              </w:rPr>
            </w:pPr>
            <w:r>
              <w:rPr>
                <w:color w:val="000000"/>
              </w:rPr>
              <w:t>73.54</w:t>
            </w:r>
          </w:p>
        </w:tc>
        <w:tc>
          <w:tcPr>
            <w:tcW w:w="725" w:type="dxa"/>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shd w:color="auto" w:fill="auto" w:val="clear"/>
            <w:vAlign w:val="center"/>
          </w:tcPr>
          <w:p>
            <w:pPr>
              <w:pStyle w:val="Normal"/>
              <w:widowControl w:val="false"/>
              <w:spacing w:before="0" w:after="60"/>
              <w:jc w:val="center"/>
              <w:rPr>
                <w:color w:val="000000"/>
              </w:rPr>
            </w:pPr>
            <w:r>
              <w:rPr>
                <w:color w:val="000000"/>
              </w:rPr>
              <w:t>3.63</w:t>
            </w:r>
          </w:p>
        </w:tc>
        <w:tc>
          <w:tcPr>
            <w:tcW w:w="591" w:type="dxa"/>
            <w:tcBorders/>
            <w:shd w:color="auto" w:fill="auto" w:val="clear"/>
            <w:vAlign w:val="center"/>
          </w:tcPr>
          <w:p>
            <w:pPr>
              <w:pStyle w:val="Normal"/>
              <w:widowControl w:val="false"/>
              <w:spacing w:before="0" w:after="60"/>
              <w:jc w:val="center"/>
              <w:rPr>
                <w:color w:val="000000"/>
              </w:rPr>
            </w:pPr>
            <w:r>
              <w:rPr>
                <w:color w:val="000000"/>
              </w:rPr>
              <w:t>1.13</w:t>
            </w:r>
          </w:p>
        </w:tc>
        <w:tc>
          <w:tcPr>
            <w:tcW w:w="675" w:type="dxa"/>
            <w:tcBorders/>
            <w:shd w:color="auto" w:fill="auto" w:val="clear"/>
            <w:vAlign w:val="center"/>
          </w:tcPr>
          <w:p>
            <w:pPr>
              <w:pStyle w:val="Normal"/>
              <w:widowControl w:val="false"/>
              <w:spacing w:before="0" w:after="60"/>
              <w:jc w:val="center"/>
              <w:rPr>
                <w:color w:val="000000"/>
              </w:rPr>
            </w:pPr>
            <w:r>
              <w:rPr>
                <w:color w:val="000000"/>
              </w:rPr>
              <w:t>0.13</w:t>
            </w:r>
          </w:p>
        </w:tc>
        <w:tc>
          <w:tcPr>
            <w:tcW w:w="675" w:type="dxa"/>
            <w:tcBorders/>
            <w:shd w:color="auto" w:fill="auto" w:val="clear"/>
            <w:vAlign w:val="center"/>
          </w:tcPr>
          <w:p>
            <w:pPr>
              <w:pStyle w:val="Normal"/>
              <w:widowControl w:val="false"/>
              <w:spacing w:before="0" w:after="60"/>
              <w:jc w:val="center"/>
              <w:rPr>
                <w:color w:val="000000"/>
              </w:rPr>
            </w:pPr>
            <w:r>
              <w:rPr>
                <w:color w:val="000000"/>
              </w:rPr>
              <w:t>0.06</w:t>
            </w:r>
          </w:p>
        </w:tc>
        <w:tc>
          <w:tcPr>
            <w:tcW w:w="859" w:type="dxa"/>
            <w:tcBorders/>
            <w:shd w:color="auto" w:fill="auto" w:val="clear"/>
            <w:vAlign w:val="center"/>
          </w:tcPr>
          <w:p>
            <w:pPr>
              <w:pStyle w:val="Normal"/>
              <w:widowControl w:val="false"/>
              <w:spacing w:before="0" w:after="60"/>
              <w:jc w:val="center"/>
              <w:rPr>
                <w:color w:val="000000"/>
              </w:rPr>
            </w:pPr>
            <w:r>
              <w:rPr>
                <w:color w:val="000000"/>
              </w:rPr>
              <w:t>1.21</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center"/>
          </w:tcPr>
          <w:p>
            <w:pPr>
              <w:pStyle w:val="Normal"/>
              <w:widowControl w:val="false"/>
              <w:spacing w:before="0" w:after="60"/>
              <w:jc w:val="center"/>
              <w:rPr>
                <w:color w:val="000000"/>
              </w:rPr>
            </w:pPr>
            <w:r>
              <w:rPr>
                <w:color w:val="000000"/>
              </w:rPr>
              <w:t>6.68</w:t>
            </w:r>
          </w:p>
        </w:tc>
        <w:tc>
          <w:tcPr>
            <w:tcW w:w="676" w:type="dxa"/>
            <w:tcBorders/>
            <w:shd w:color="auto" w:fill="auto" w:val="clear"/>
            <w:vAlign w:val="center"/>
          </w:tcPr>
          <w:p>
            <w:pPr>
              <w:pStyle w:val="Normal"/>
              <w:widowControl w:val="false"/>
              <w:spacing w:before="0" w:after="60"/>
              <w:jc w:val="center"/>
              <w:rPr>
                <w:color w:val="000000"/>
              </w:rPr>
            </w:pPr>
            <w:r>
              <w:rPr>
                <w:color w:val="000000"/>
              </w:rPr>
              <w:t>0.36</w:t>
            </w:r>
          </w:p>
        </w:tc>
        <w:tc>
          <w:tcPr>
            <w:tcW w:w="859" w:type="dxa"/>
            <w:tcBorders/>
            <w:shd w:color="auto" w:fill="auto" w:val="clear"/>
            <w:vAlign w:val="center"/>
          </w:tcPr>
          <w:p>
            <w:pPr>
              <w:pStyle w:val="Normal"/>
              <w:widowControl w:val="false"/>
              <w:spacing w:before="0" w:after="60"/>
              <w:jc w:val="center"/>
              <w:rPr>
                <w:color w:val="000000"/>
              </w:rPr>
            </w:pPr>
            <w:r>
              <w:rPr>
                <w:color w:val="000000"/>
              </w:rPr>
              <w:t>15.58</w:t>
            </w:r>
          </w:p>
        </w:tc>
        <w:tc>
          <w:tcPr>
            <w:tcW w:w="716" w:type="dxa"/>
            <w:tcBorders/>
            <w:shd w:color="auto" w:fill="auto" w:val="clear"/>
            <w:vAlign w:val="center"/>
          </w:tcPr>
          <w:p>
            <w:pPr>
              <w:pStyle w:val="Normal"/>
              <w:widowControl w:val="false"/>
              <w:spacing w:before="0" w:after="60"/>
              <w:jc w:val="center"/>
              <w:rPr>
                <w:color w:val="000000"/>
              </w:rPr>
            </w:pPr>
            <w:r>
              <w:rPr>
                <w:color w:val="000000"/>
              </w:rPr>
              <w:t>73.31</w:t>
            </w:r>
          </w:p>
        </w:tc>
        <w:tc>
          <w:tcPr>
            <w:tcW w:w="725" w:type="dxa"/>
            <w:tcBorders/>
            <w:shd w:color="auto" w:fill="auto" w:val="clear"/>
            <w:vAlign w:val="center"/>
          </w:tcPr>
          <w:p>
            <w:pPr>
              <w:pStyle w:val="Normal"/>
              <w:widowControl w:val="false"/>
              <w:spacing w:before="0" w:after="60"/>
              <w:jc w:val="center"/>
              <w:rPr>
                <w:color w:val="000000"/>
              </w:rPr>
            </w:pPr>
            <w:r>
              <w:rPr>
                <w:color w:val="000000"/>
              </w:rPr>
              <w:t>0.03</w:t>
            </w:r>
          </w:p>
        </w:tc>
        <w:tc>
          <w:tcPr>
            <w:tcW w:w="623" w:type="dxa"/>
            <w:tcBorders/>
            <w:shd w:color="auto" w:fill="auto" w:val="clear"/>
            <w:vAlign w:val="center"/>
          </w:tcPr>
          <w:p>
            <w:pPr>
              <w:pStyle w:val="Normal"/>
              <w:widowControl w:val="false"/>
              <w:spacing w:before="0" w:after="60"/>
              <w:jc w:val="center"/>
              <w:rPr>
                <w:color w:val="000000"/>
              </w:rPr>
            </w:pPr>
            <w:r>
              <w:rPr>
                <w:color w:val="000000"/>
              </w:rPr>
              <w:t>3.24</w:t>
            </w:r>
          </w:p>
        </w:tc>
        <w:tc>
          <w:tcPr>
            <w:tcW w:w="591" w:type="dxa"/>
            <w:tcBorders/>
            <w:shd w:color="auto" w:fill="auto" w:val="clear"/>
            <w:vAlign w:val="center"/>
          </w:tcPr>
          <w:p>
            <w:pPr>
              <w:pStyle w:val="Normal"/>
              <w:widowControl w:val="false"/>
              <w:spacing w:before="0" w:after="60"/>
              <w:jc w:val="center"/>
              <w:rPr>
                <w:color w:val="000000"/>
              </w:rPr>
            </w:pPr>
            <w:r>
              <w:rPr>
                <w:color w:val="000000"/>
              </w:rPr>
              <w:t>0.97</w:t>
            </w:r>
          </w:p>
        </w:tc>
        <w:tc>
          <w:tcPr>
            <w:tcW w:w="675" w:type="dxa"/>
            <w:tcBorders/>
            <w:shd w:color="auto" w:fill="auto" w:val="clear"/>
            <w:vAlign w:val="center"/>
          </w:tcPr>
          <w:p>
            <w:pPr>
              <w:pStyle w:val="Normal"/>
              <w:widowControl w:val="false"/>
              <w:spacing w:before="0" w:after="60"/>
              <w:jc w:val="center"/>
              <w:rPr>
                <w:color w:val="000000"/>
              </w:rPr>
            </w:pPr>
            <w:r>
              <w:rPr>
                <w:color w:val="000000"/>
              </w:rPr>
              <w:t>0.11</w:t>
            </w:r>
          </w:p>
        </w:tc>
        <w:tc>
          <w:tcPr>
            <w:tcW w:w="675" w:type="dxa"/>
            <w:tcBorders/>
            <w:shd w:color="auto" w:fill="auto" w:val="clear"/>
            <w:vAlign w:val="center"/>
          </w:tcPr>
          <w:p>
            <w:pPr>
              <w:pStyle w:val="Normal"/>
              <w:widowControl w:val="false"/>
              <w:spacing w:before="0" w:after="60"/>
              <w:jc w:val="center"/>
              <w:rPr>
                <w:color w:val="000000"/>
              </w:rPr>
            </w:pPr>
            <w:r>
              <w:rPr>
                <w:color w:val="000000"/>
              </w:rPr>
              <w:t>0.05</w:t>
            </w:r>
          </w:p>
        </w:tc>
        <w:tc>
          <w:tcPr>
            <w:tcW w:w="859" w:type="dxa"/>
            <w:tcBorders/>
            <w:shd w:color="auto" w:fill="auto" w:val="clear"/>
            <w:vAlign w:val="center"/>
          </w:tcPr>
          <w:p>
            <w:pPr>
              <w:pStyle w:val="Normal"/>
              <w:widowControl w:val="false"/>
              <w:spacing w:before="0" w:after="60"/>
              <w:jc w:val="center"/>
              <w:rPr>
                <w:color w:val="000000"/>
              </w:rPr>
            </w:pPr>
            <w:r>
              <w:rPr>
                <w:color w:val="000000"/>
              </w:rPr>
              <w:t>1.03</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7.39</w:t>
            </w:r>
          </w:p>
        </w:tc>
        <w:tc>
          <w:tcPr>
            <w:tcW w:w="67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0.42</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16.22</w:t>
            </w:r>
          </w:p>
        </w:tc>
        <w:tc>
          <w:tcPr>
            <w:tcW w:w="716"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73.71</w:t>
            </w:r>
          </w:p>
        </w:tc>
        <w:tc>
          <w:tcPr>
            <w:tcW w:w="72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0.04</w:t>
            </w:r>
          </w:p>
        </w:tc>
        <w:tc>
          <w:tcPr>
            <w:tcW w:w="623"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3.75</w:t>
            </w:r>
          </w:p>
        </w:tc>
        <w:tc>
          <w:tcPr>
            <w:tcW w:w="591"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1.20</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0.14</w:t>
            </w:r>
          </w:p>
        </w:tc>
        <w:tc>
          <w:tcPr>
            <w:tcW w:w="675"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0.06</w:t>
            </w:r>
          </w:p>
        </w:tc>
        <w:tc>
          <w:tcPr>
            <w:tcW w:w="859" w:type="dxa"/>
            <w:tcBorders>
              <w:bottom w:val="single" w:sz="4" w:space="0" w:color="000000"/>
            </w:tcBorders>
            <w:shd w:color="auto" w:fill="auto" w:val="clear"/>
            <w:vAlign w:val="center"/>
          </w:tcPr>
          <w:p>
            <w:pPr>
              <w:pStyle w:val="Normal"/>
              <w:widowControl w:val="false"/>
              <w:spacing w:before="0" w:after="60"/>
              <w:jc w:val="center"/>
              <w:rPr>
                <w:color w:val="000000"/>
              </w:rPr>
            </w:pPr>
            <w:r>
              <w:rPr>
                <w:color w:val="000000"/>
              </w:rPr>
              <w:t>1.27</w:t>
            </w:r>
          </w:p>
        </w:tc>
      </w:tr>
      <w:tr>
        <w:trPr>
          <w:trHeight w:val="315" w:hRule="atLeast"/>
        </w:trPr>
        <w:tc>
          <w:tcPr>
            <w:tcW w:w="990" w:type="dxa"/>
            <w:tcBorders/>
            <w:shd w:color="auto" w:fill="auto" w:val="clear"/>
            <w:vAlign w:val="bottom"/>
          </w:tcPr>
          <w:p>
            <w:pPr>
              <w:pStyle w:val="Normal"/>
              <w:widowControl w:val="false"/>
              <w:spacing w:before="0" w:after="60"/>
              <w:rPr>
                <w:color w:val="000000"/>
              </w:rPr>
            </w:pPr>
            <w:r>
              <w:rPr>
                <w:color w:val="000000"/>
              </w:rPr>
              <w:t>PERQ12</w:t>
            </w:r>
          </w:p>
        </w:tc>
        <w:tc>
          <w:tcPr>
            <w:tcW w:w="951" w:type="dxa"/>
            <w:tcBorders/>
            <w:shd w:color="auto" w:fill="auto" w:val="clear"/>
            <w:vAlign w:val="bottom"/>
          </w:tcPr>
          <w:p>
            <w:pPr>
              <w:pStyle w:val="Normal"/>
              <w:widowControl w:val="false"/>
              <w:spacing w:before="0" w:after="60"/>
              <w:rPr>
                <w:color w:val="000000"/>
              </w:rPr>
            </w:pPr>
            <w:r>
              <w:rPr>
                <w:color w:val="000000"/>
              </w:rPr>
              <w:t>Average</w:t>
            </w:r>
          </w:p>
        </w:tc>
        <w:tc>
          <w:tcPr>
            <w:tcW w:w="759" w:type="dxa"/>
            <w:tcBorders/>
            <w:shd w:color="auto" w:fill="auto" w:val="clear"/>
            <w:vAlign w:val="bottom"/>
          </w:tcPr>
          <w:p>
            <w:pPr>
              <w:pStyle w:val="Normal"/>
              <w:widowControl w:val="false"/>
              <w:spacing w:before="0" w:after="60"/>
              <w:jc w:val="center"/>
              <w:rPr>
                <w:color w:val="000000"/>
              </w:rPr>
            </w:pPr>
            <w:r>
              <w:rPr>
                <w:color w:val="000000"/>
              </w:rPr>
              <w:t>4.79</w:t>
            </w:r>
          </w:p>
        </w:tc>
        <w:tc>
          <w:tcPr>
            <w:tcW w:w="676" w:type="dxa"/>
            <w:tcBorders/>
            <w:shd w:color="auto" w:fill="auto" w:val="clear"/>
            <w:vAlign w:val="bottom"/>
          </w:tcPr>
          <w:p>
            <w:pPr>
              <w:pStyle w:val="Normal"/>
              <w:widowControl w:val="false"/>
              <w:spacing w:before="0" w:after="60"/>
              <w:jc w:val="center"/>
              <w:rPr>
                <w:color w:val="000000"/>
              </w:rPr>
            </w:pPr>
            <w:r>
              <w:rPr>
                <w:color w:val="000000"/>
              </w:rPr>
              <w:t>1.20</w:t>
            </w:r>
          </w:p>
        </w:tc>
        <w:tc>
          <w:tcPr>
            <w:tcW w:w="859" w:type="dxa"/>
            <w:tcBorders/>
            <w:shd w:color="auto" w:fill="auto" w:val="clear"/>
            <w:vAlign w:val="bottom"/>
          </w:tcPr>
          <w:p>
            <w:pPr>
              <w:pStyle w:val="Normal"/>
              <w:widowControl w:val="false"/>
              <w:spacing w:before="0" w:after="60"/>
              <w:jc w:val="center"/>
              <w:rPr>
                <w:color w:val="000000"/>
              </w:rPr>
            </w:pPr>
            <w:r>
              <w:rPr>
                <w:color w:val="000000"/>
              </w:rPr>
              <w:t>16.73</w:t>
            </w:r>
          </w:p>
        </w:tc>
        <w:tc>
          <w:tcPr>
            <w:tcW w:w="716" w:type="dxa"/>
            <w:tcBorders/>
            <w:shd w:color="auto" w:fill="auto" w:val="clear"/>
            <w:vAlign w:val="bottom"/>
          </w:tcPr>
          <w:p>
            <w:pPr>
              <w:pStyle w:val="Normal"/>
              <w:widowControl w:val="false"/>
              <w:spacing w:before="0" w:after="60"/>
              <w:jc w:val="center"/>
              <w:rPr>
                <w:color w:val="000000"/>
              </w:rPr>
            </w:pPr>
            <w:r>
              <w:rPr>
                <w:color w:val="000000"/>
              </w:rPr>
              <w:t>74.65</w:t>
            </w:r>
          </w:p>
        </w:tc>
        <w:tc>
          <w:tcPr>
            <w:tcW w:w="725" w:type="dxa"/>
            <w:tcBorders/>
            <w:shd w:color="auto" w:fill="auto" w:val="clear"/>
            <w:vAlign w:val="bottom"/>
          </w:tcPr>
          <w:p>
            <w:pPr>
              <w:pStyle w:val="Normal"/>
              <w:widowControl w:val="false"/>
              <w:spacing w:before="0" w:after="60"/>
              <w:jc w:val="center"/>
              <w:rPr>
                <w:color w:val="000000"/>
              </w:rPr>
            </w:pPr>
            <w:r>
              <w:rPr>
                <w:color w:val="000000"/>
              </w:rPr>
              <w:t>0.03</w:t>
            </w:r>
          </w:p>
        </w:tc>
        <w:tc>
          <w:tcPr>
            <w:tcW w:w="623" w:type="dxa"/>
            <w:tcBorders/>
            <w:shd w:color="auto" w:fill="auto" w:val="clear"/>
            <w:vAlign w:val="bottom"/>
          </w:tcPr>
          <w:p>
            <w:pPr>
              <w:pStyle w:val="Normal"/>
              <w:widowControl w:val="false"/>
              <w:spacing w:before="0" w:after="60"/>
              <w:jc w:val="center"/>
              <w:rPr>
                <w:color w:val="000000"/>
              </w:rPr>
            </w:pPr>
            <w:r>
              <w:rPr>
                <w:color w:val="000000"/>
              </w:rPr>
              <w:t>3.59</w:t>
            </w:r>
          </w:p>
        </w:tc>
        <w:tc>
          <w:tcPr>
            <w:tcW w:w="591" w:type="dxa"/>
            <w:tcBorders/>
            <w:shd w:color="auto" w:fill="auto" w:val="clear"/>
            <w:vAlign w:val="bottom"/>
          </w:tcPr>
          <w:p>
            <w:pPr>
              <w:pStyle w:val="Normal"/>
              <w:widowControl w:val="false"/>
              <w:spacing w:before="0" w:after="60"/>
              <w:jc w:val="center"/>
              <w:rPr>
                <w:color w:val="000000"/>
              </w:rPr>
            </w:pPr>
            <w:r>
              <w:rPr>
                <w:color w:val="000000"/>
              </w:rPr>
              <w:t>0.75</w:t>
            </w:r>
          </w:p>
        </w:tc>
        <w:tc>
          <w:tcPr>
            <w:tcW w:w="675" w:type="dxa"/>
            <w:tcBorders/>
            <w:shd w:color="auto" w:fill="auto" w:val="clear"/>
            <w:vAlign w:val="bottom"/>
          </w:tcPr>
          <w:p>
            <w:pPr>
              <w:pStyle w:val="Normal"/>
              <w:widowControl w:val="false"/>
              <w:spacing w:before="0" w:after="60"/>
              <w:jc w:val="center"/>
              <w:rPr>
                <w:color w:val="000000"/>
              </w:rPr>
            </w:pPr>
            <w:r>
              <w:rPr>
                <w:color w:val="000000"/>
              </w:rPr>
              <w:t>0.12</w:t>
            </w:r>
          </w:p>
        </w:tc>
        <w:tc>
          <w:tcPr>
            <w:tcW w:w="675" w:type="dxa"/>
            <w:tcBorders/>
            <w:shd w:color="auto" w:fill="auto" w:val="clear"/>
            <w:vAlign w:val="bottom"/>
          </w:tcPr>
          <w:p>
            <w:pPr>
              <w:pStyle w:val="Normal"/>
              <w:widowControl w:val="false"/>
              <w:spacing w:before="0" w:after="60"/>
              <w:jc w:val="center"/>
              <w:rPr>
                <w:color w:val="000000"/>
              </w:rPr>
            </w:pPr>
            <w:r>
              <w:rPr>
                <w:color w:val="000000"/>
              </w:rPr>
              <w:t>0.05</w:t>
            </w:r>
          </w:p>
        </w:tc>
        <w:tc>
          <w:tcPr>
            <w:tcW w:w="859" w:type="dxa"/>
            <w:tcBorders/>
            <w:shd w:color="auto" w:fill="auto" w:val="clear"/>
            <w:vAlign w:val="bottom"/>
          </w:tcPr>
          <w:p>
            <w:pPr>
              <w:pStyle w:val="Normal"/>
              <w:widowControl w:val="false"/>
              <w:spacing w:before="0" w:after="60"/>
              <w:jc w:val="center"/>
              <w:rPr>
                <w:color w:val="000000"/>
              </w:rPr>
            </w:pPr>
            <w:r>
              <w:rPr>
                <w:color w:val="000000"/>
              </w:rPr>
              <w:t>0.81</w:t>
            </w:r>
          </w:p>
        </w:tc>
      </w:tr>
      <w:tr>
        <w:trPr>
          <w:trHeight w:val="315" w:hRule="atLeast"/>
        </w:trPr>
        <w:tc>
          <w:tcPr>
            <w:tcW w:w="990" w:type="dxa"/>
            <w:tcBorders/>
            <w:shd w:color="auto" w:fill="auto" w:val="clear"/>
            <w:vAlign w:val="bottom"/>
          </w:tcPr>
          <w:p>
            <w:pPr>
              <w:pStyle w:val="Normal"/>
              <w:widowControl w:val="false"/>
              <w:spacing w:before="0" w:after="60"/>
              <w:jc w:val="center"/>
              <w:rPr>
                <w:color w:val="000000"/>
              </w:rPr>
            </w:pPr>
            <w:r>
              <w:rPr>
                <w:color w:val="000000"/>
              </w:rPr>
            </w:r>
          </w:p>
        </w:tc>
        <w:tc>
          <w:tcPr>
            <w:tcW w:w="951" w:type="dxa"/>
            <w:tcBorders/>
            <w:shd w:color="auto" w:fill="auto" w:val="clear"/>
            <w:vAlign w:val="bottom"/>
          </w:tcPr>
          <w:p>
            <w:pPr>
              <w:pStyle w:val="Normal"/>
              <w:widowControl w:val="false"/>
              <w:spacing w:before="0" w:after="60"/>
              <w:rPr>
                <w:color w:val="000000"/>
              </w:rPr>
            </w:pPr>
            <w:r>
              <w:rPr>
                <w:color w:val="000000"/>
              </w:rPr>
              <w:t>Min</w:t>
            </w:r>
          </w:p>
        </w:tc>
        <w:tc>
          <w:tcPr>
            <w:tcW w:w="759" w:type="dxa"/>
            <w:tcBorders/>
            <w:shd w:color="auto" w:fill="auto" w:val="clear"/>
            <w:vAlign w:val="bottom"/>
          </w:tcPr>
          <w:p>
            <w:pPr>
              <w:pStyle w:val="Normal"/>
              <w:widowControl w:val="false"/>
              <w:spacing w:before="0" w:after="60"/>
              <w:jc w:val="center"/>
              <w:rPr>
                <w:color w:val="000000"/>
              </w:rPr>
            </w:pPr>
            <w:r>
              <w:rPr>
                <w:color w:val="000000"/>
              </w:rPr>
              <w:t>4.61</w:t>
            </w:r>
          </w:p>
        </w:tc>
        <w:tc>
          <w:tcPr>
            <w:tcW w:w="676" w:type="dxa"/>
            <w:tcBorders/>
            <w:shd w:color="auto" w:fill="auto" w:val="clear"/>
            <w:vAlign w:val="bottom"/>
          </w:tcPr>
          <w:p>
            <w:pPr>
              <w:pStyle w:val="Normal"/>
              <w:widowControl w:val="false"/>
              <w:spacing w:before="0" w:after="60"/>
              <w:jc w:val="center"/>
              <w:rPr>
                <w:color w:val="000000"/>
              </w:rPr>
            </w:pPr>
            <w:r>
              <w:rPr>
                <w:color w:val="000000"/>
              </w:rPr>
              <w:t>1.11</w:t>
            </w:r>
          </w:p>
        </w:tc>
        <w:tc>
          <w:tcPr>
            <w:tcW w:w="859" w:type="dxa"/>
            <w:tcBorders/>
            <w:shd w:color="auto" w:fill="auto" w:val="clear"/>
            <w:vAlign w:val="bottom"/>
          </w:tcPr>
          <w:p>
            <w:pPr>
              <w:pStyle w:val="Normal"/>
              <w:widowControl w:val="false"/>
              <w:spacing w:before="0" w:after="60"/>
              <w:jc w:val="center"/>
              <w:rPr>
                <w:color w:val="000000"/>
              </w:rPr>
            </w:pPr>
            <w:r>
              <w:rPr>
                <w:color w:val="000000"/>
              </w:rPr>
              <w:t>16.45</w:t>
            </w:r>
          </w:p>
        </w:tc>
        <w:tc>
          <w:tcPr>
            <w:tcW w:w="716" w:type="dxa"/>
            <w:tcBorders/>
            <w:shd w:color="auto" w:fill="auto" w:val="clear"/>
            <w:vAlign w:val="bottom"/>
          </w:tcPr>
          <w:p>
            <w:pPr>
              <w:pStyle w:val="Normal"/>
              <w:widowControl w:val="false"/>
              <w:spacing w:before="0" w:after="60"/>
              <w:jc w:val="center"/>
              <w:rPr>
                <w:color w:val="000000"/>
              </w:rPr>
            </w:pPr>
            <w:r>
              <w:rPr>
                <w:color w:val="000000"/>
              </w:rPr>
              <w:t>74.04</w:t>
            </w:r>
          </w:p>
        </w:tc>
        <w:tc>
          <w:tcPr>
            <w:tcW w:w="725" w:type="dxa"/>
            <w:tcBorders/>
            <w:shd w:color="auto" w:fill="auto" w:val="clear"/>
            <w:vAlign w:val="bottom"/>
          </w:tcPr>
          <w:p>
            <w:pPr>
              <w:pStyle w:val="Normal"/>
              <w:widowControl w:val="false"/>
              <w:spacing w:before="0" w:after="60"/>
              <w:jc w:val="center"/>
              <w:rPr>
                <w:color w:val="000000"/>
              </w:rPr>
            </w:pPr>
            <w:r>
              <w:rPr>
                <w:color w:val="000000"/>
              </w:rPr>
              <w:t>0.03</w:t>
            </w:r>
          </w:p>
        </w:tc>
        <w:tc>
          <w:tcPr>
            <w:tcW w:w="623" w:type="dxa"/>
            <w:tcBorders/>
            <w:shd w:color="auto" w:fill="auto" w:val="clear"/>
            <w:vAlign w:val="bottom"/>
          </w:tcPr>
          <w:p>
            <w:pPr>
              <w:pStyle w:val="Normal"/>
              <w:widowControl w:val="false"/>
              <w:spacing w:before="0" w:after="60"/>
              <w:jc w:val="center"/>
              <w:rPr>
                <w:color w:val="000000"/>
              </w:rPr>
            </w:pPr>
            <w:r>
              <w:rPr>
                <w:color w:val="000000"/>
              </w:rPr>
              <w:t>3.16</w:t>
            </w:r>
          </w:p>
        </w:tc>
        <w:tc>
          <w:tcPr>
            <w:tcW w:w="591" w:type="dxa"/>
            <w:tcBorders/>
            <w:shd w:color="auto" w:fill="auto" w:val="clear"/>
            <w:vAlign w:val="bottom"/>
          </w:tcPr>
          <w:p>
            <w:pPr>
              <w:pStyle w:val="Normal"/>
              <w:widowControl w:val="false"/>
              <w:spacing w:before="0" w:after="60"/>
              <w:jc w:val="center"/>
              <w:rPr>
                <w:color w:val="000000"/>
              </w:rPr>
            </w:pPr>
            <w:r>
              <w:rPr>
                <w:color w:val="000000"/>
              </w:rPr>
              <w:t>0.63</w:t>
            </w:r>
          </w:p>
        </w:tc>
        <w:tc>
          <w:tcPr>
            <w:tcW w:w="675" w:type="dxa"/>
            <w:tcBorders/>
            <w:shd w:color="auto" w:fill="auto" w:val="clear"/>
            <w:vAlign w:val="bottom"/>
          </w:tcPr>
          <w:p>
            <w:pPr>
              <w:pStyle w:val="Normal"/>
              <w:widowControl w:val="false"/>
              <w:spacing w:before="0" w:after="60"/>
              <w:jc w:val="center"/>
              <w:rPr>
                <w:color w:val="000000"/>
              </w:rPr>
            </w:pPr>
            <w:r>
              <w:rPr>
                <w:color w:val="000000"/>
              </w:rPr>
              <w:t>0.10</w:t>
            </w:r>
          </w:p>
        </w:tc>
        <w:tc>
          <w:tcPr>
            <w:tcW w:w="675" w:type="dxa"/>
            <w:tcBorders/>
            <w:shd w:color="auto" w:fill="auto" w:val="clear"/>
            <w:vAlign w:val="bottom"/>
          </w:tcPr>
          <w:p>
            <w:pPr>
              <w:pStyle w:val="Normal"/>
              <w:widowControl w:val="false"/>
              <w:spacing w:before="0" w:after="60"/>
              <w:jc w:val="center"/>
              <w:rPr>
                <w:color w:val="000000"/>
              </w:rPr>
            </w:pPr>
            <w:r>
              <w:rPr>
                <w:color w:val="000000"/>
              </w:rPr>
              <w:t>0.04</w:t>
            </w:r>
          </w:p>
        </w:tc>
        <w:tc>
          <w:tcPr>
            <w:tcW w:w="859" w:type="dxa"/>
            <w:tcBorders/>
            <w:shd w:color="auto" w:fill="auto" w:val="clear"/>
            <w:vAlign w:val="bottom"/>
          </w:tcPr>
          <w:p>
            <w:pPr>
              <w:pStyle w:val="Normal"/>
              <w:widowControl w:val="false"/>
              <w:spacing w:before="0" w:after="60"/>
              <w:jc w:val="center"/>
              <w:rPr>
                <w:color w:val="000000"/>
              </w:rPr>
            </w:pPr>
            <w:r>
              <w:rPr>
                <w:color w:val="000000"/>
              </w:rPr>
              <w:t>0.68</w:t>
            </w:r>
          </w:p>
        </w:tc>
      </w:tr>
      <w:tr>
        <w:trPr>
          <w:trHeight w:val="315" w:hRule="atLeast"/>
        </w:trPr>
        <w:tc>
          <w:tcPr>
            <w:tcW w:w="990" w:type="dxa"/>
            <w:tcBorders>
              <w:bottom w:val="single" w:sz="4" w:space="0" w:color="000000"/>
            </w:tcBorders>
            <w:shd w:color="auto" w:fill="auto" w:val="clear"/>
            <w:vAlign w:val="bottom"/>
          </w:tcPr>
          <w:p>
            <w:pPr>
              <w:pStyle w:val="Normal"/>
              <w:widowControl w:val="false"/>
              <w:spacing w:before="0" w:after="60"/>
              <w:rPr>
                <w:color w:val="000000"/>
              </w:rPr>
            </w:pPr>
            <w:r>
              <w:rPr/>
            </w:r>
          </w:p>
        </w:tc>
        <w:tc>
          <w:tcPr>
            <w:tcW w:w="951" w:type="dxa"/>
            <w:tcBorders>
              <w:bottom w:val="single" w:sz="4" w:space="0" w:color="000000"/>
            </w:tcBorders>
            <w:shd w:color="auto" w:fill="auto" w:val="clear"/>
            <w:vAlign w:val="bottom"/>
          </w:tcPr>
          <w:p>
            <w:pPr>
              <w:pStyle w:val="Normal"/>
              <w:widowControl w:val="false"/>
              <w:spacing w:before="0" w:after="60"/>
              <w:rPr>
                <w:color w:val="000000"/>
              </w:rPr>
            </w:pPr>
            <w:r>
              <w:rPr>
                <w:color w:val="000000"/>
              </w:rPr>
              <w:t>Max</w:t>
            </w:r>
          </w:p>
        </w:tc>
        <w:tc>
          <w:tcPr>
            <w:tcW w:w="759" w:type="dxa"/>
            <w:tcBorders>
              <w:bottom w:val="single" w:sz="4" w:space="0" w:color="000000"/>
            </w:tcBorders>
            <w:shd w:color="auto" w:fill="auto" w:val="clear"/>
            <w:vAlign w:val="bottom"/>
          </w:tcPr>
          <w:p>
            <w:pPr>
              <w:pStyle w:val="Normal"/>
              <w:widowControl w:val="false"/>
              <w:spacing w:before="0" w:after="60"/>
              <w:jc w:val="center"/>
              <w:rPr>
                <w:color w:val="000000"/>
              </w:rPr>
            </w:pPr>
            <w:r>
              <w:rPr>
                <w:color w:val="000000"/>
              </w:rPr>
              <w:t>5.21</w:t>
            </w:r>
          </w:p>
        </w:tc>
        <w:tc>
          <w:tcPr>
            <w:tcW w:w="676" w:type="dxa"/>
            <w:tcBorders>
              <w:bottom w:val="single" w:sz="4" w:space="0" w:color="000000"/>
            </w:tcBorders>
            <w:shd w:color="auto" w:fill="auto" w:val="clear"/>
            <w:vAlign w:val="bottom"/>
          </w:tcPr>
          <w:p>
            <w:pPr>
              <w:pStyle w:val="Normal"/>
              <w:widowControl w:val="false"/>
              <w:spacing w:before="0" w:after="60"/>
              <w:jc w:val="center"/>
              <w:rPr>
                <w:color w:val="000000"/>
              </w:rPr>
            </w:pPr>
            <w:r>
              <w:rPr>
                <w:color w:val="000000"/>
              </w:rPr>
              <w:t>1.33</w:t>
            </w:r>
          </w:p>
        </w:tc>
        <w:tc>
          <w:tcPr>
            <w:tcW w:w="859" w:type="dxa"/>
            <w:tcBorders>
              <w:bottom w:val="single" w:sz="4" w:space="0" w:color="000000"/>
            </w:tcBorders>
            <w:shd w:color="auto" w:fill="auto" w:val="clear"/>
            <w:vAlign w:val="bottom"/>
          </w:tcPr>
          <w:p>
            <w:pPr>
              <w:pStyle w:val="Normal"/>
              <w:widowControl w:val="false"/>
              <w:spacing w:before="0" w:after="60"/>
              <w:jc w:val="center"/>
              <w:rPr>
                <w:color w:val="000000"/>
              </w:rPr>
            </w:pPr>
            <w:r>
              <w:rPr>
                <w:color w:val="000000"/>
              </w:rPr>
              <w:t>17.26</w:t>
            </w:r>
          </w:p>
        </w:tc>
        <w:tc>
          <w:tcPr>
            <w:tcW w:w="716" w:type="dxa"/>
            <w:tcBorders>
              <w:bottom w:val="single" w:sz="4" w:space="0" w:color="000000"/>
            </w:tcBorders>
            <w:shd w:color="auto" w:fill="auto" w:val="clear"/>
            <w:vAlign w:val="bottom"/>
          </w:tcPr>
          <w:p>
            <w:pPr>
              <w:pStyle w:val="Normal"/>
              <w:widowControl w:val="false"/>
              <w:spacing w:before="0" w:after="60"/>
              <w:jc w:val="center"/>
              <w:rPr>
                <w:color w:val="000000"/>
              </w:rPr>
            </w:pPr>
            <w:r>
              <w:rPr>
                <w:color w:val="000000"/>
              </w:rPr>
              <w:t>74.93</w:t>
            </w:r>
          </w:p>
        </w:tc>
        <w:tc>
          <w:tcPr>
            <w:tcW w:w="725" w:type="dxa"/>
            <w:tcBorders>
              <w:bottom w:val="single" w:sz="4" w:space="0" w:color="000000"/>
            </w:tcBorders>
            <w:shd w:color="auto" w:fill="auto" w:val="clear"/>
            <w:vAlign w:val="bottom"/>
          </w:tcPr>
          <w:p>
            <w:pPr>
              <w:pStyle w:val="Normal"/>
              <w:widowControl w:val="false"/>
              <w:spacing w:before="0" w:after="60"/>
              <w:jc w:val="center"/>
              <w:rPr>
                <w:color w:val="000000"/>
              </w:rPr>
            </w:pPr>
            <w:r>
              <w:rPr>
                <w:color w:val="000000"/>
              </w:rPr>
              <w:t>0.03</w:t>
            </w:r>
          </w:p>
        </w:tc>
        <w:tc>
          <w:tcPr>
            <w:tcW w:w="623" w:type="dxa"/>
            <w:tcBorders>
              <w:bottom w:val="single" w:sz="4" w:space="0" w:color="000000"/>
            </w:tcBorders>
            <w:shd w:color="auto" w:fill="auto" w:val="clear"/>
            <w:vAlign w:val="bottom"/>
          </w:tcPr>
          <w:p>
            <w:pPr>
              <w:pStyle w:val="Normal"/>
              <w:widowControl w:val="false"/>
              <w:spacing w:before="0" w:after="60"/>
              <w:jc w:val="center"/>
              <w:rPr>
                <w:color w:val="000000"/>
              </w:rPr>
            </w:pPr>
            <w:r>
              <w:rPr>
                <w:color w:val="000000"/>
              </w:rPr>
              <w:t>3.80</w:t>
            </w:r>
          </w:p>
        </w:tc>
        <w:tc>
          <w:tcPr>
            <w:tcW w:w="591" w:type="dxa"/>
            <w:tcBorders>
              <w:bottom w:val="single" w:sz="4" w:space="0" w:color="000000"/>
            </w:tcBorders>
            <w:shd w:color="auto" w:fill="auto" w:val="clear"/>
            <w:vAlign w:val="bottom"/>
          </w:tcPr>
          <w:p>
            <w:pPr>
              <w:pStyle w:val="Normal"/>
              <w:widowControl w:val="false"/>
              <w:spacing w:before="0" w:after="60"/>
              <w:jc w:val="center"/>
              <w:rPr>
                <w:color w:val="000000"/>
              </w:rPr>
            </w:pPr>
            <w:r>
              <w:rPr>
                <w:color w:val="000000"/>
              </w:rPr>
              <w:t>0.82</w:t>
            </w:r>
          </w:p>
        </w:tc>
        <w:tc>
          <w:tcPr>
            <w:tcW w:w="675" w:type="dxa"/>
            <w:tcBorders>
              <w:bottom w:val="single" w:sz="4" w:space="0" w:color="000000"/>
            </w:tcBorders>
            <w:shd w:color="auto" w:fill="auto" w:val="clear"/>
            <w:vAlign w:val="bottom"/>
          </w:tcPr>
          <w:p>
            <w:pPr>
              <w:pStyle w:val="Normal"/>
              <w:widowControl w:val="false"/>
              <w:spacing w:before="0" w:after="60"/>
              <w:jc w:val="center"/>
              <w:rPr>
                <w:color w:val="000000"/>
              </w:rPr>
            </w:pPr>
            <w:r>
              <w:rPr>
                <w:color w:val="000000"/>
              </w:rPr>
              <w:t>0.14</w:t>
            </w:r>
          </w:p>
        </w:tc>
        <w:tc>
          <w:tcPr>
            <w:tcW w:w="675" w:type="dxa"/>
            <w:tcBorders>
              <w:bottom w:val="single" w:sz="4" w:space="0" w:color="000000"/>
            </w:tcBorders>
            <w:shd w:color="auto" w:fill="auto" w:val="clear"/>
            <w:vAlign w:val="bottom"/>
          </w:tcPr>
          <w:p>
            <w:pPr>
              <w:pStyle w:val="Normal"/>
              <w:widowControl w:val="false"/>
              <w:spacing w:before="0" w:after="60"/>
              <w:jc w:val="center"/>
              <w:rPr>
                <w:color w:val="000000"/>
              </w:rPr>
            </w:pPr>
            <w:r>
              <w:rPr>
                <w:color w:val="000000"/>
              </w:rPr>
              <w:t>0.05</w:t>
            </w:r>
          </w:p>
        </w:tc>
        <w:tc>
          <w:tcPr>
            <w:tcW w:w="859" w:type="dxa"/>
            <w:tcBorders>
              <w:bottom w:val="single" w:sz="4" w:space="0" w:color="000000"/>
            </w:tcBorders>
            <w:shd w:color="auto" w:fill="auto" w:val="clear"/>
            <w:vAlign w:val="bottom"/>
          </w:tcPr>
          <w:p>
            <w:pPr>
              <w:pStyle w:val="Normal"/>
              <w:widowControl w:val="false"/>
              <w:spacing w:before="0" w:after="60"/>
              <w:jc w:val="center"/>
              <w:rPr>
                <w:color w:val="000000"/>
              </w:rPr>
            </w:pPr>
            <w:r>
              <w:rPr>
                <w:color w:val="000000"/>
              </w:rPr>
              <w:t>0.89</w:t>
            </w:r>
          </w:p>
        </w:tc>
      </w:tr>
    </w:tbl>
    <w:p>
      <w:pPr>
        <w:pStyle w:val="Normal"/>
        <w:spacing w:lineRule="auto" w:line="480"/>
        <w:jc w:val="both"/>
        <w:rPr/>
      </w:pPr>
      <w:r>
        <w:rPr/>
      </w:r>
    </w:p>
    <w:p>
      <w:pPr>
        <w:pStyle w:val="Normal"/>
        <w:spacing w:lineRule="auto" w:line="480"/>
        <w:jc w:val="both"/>
        <w:rPr>
          <w:lang w:val="en-GB"/>
        </w:rPr>
      </w:pPr>
      <w:r>
        <w:rPr>
          <w:bCs/>
          <w:color w:val="000000"/>
        </w:rPr>
        <w:t xml:space="preserve">   </w:t>
      </w:r>
      <w:r>
        <w:rPr>
          <w:bCs/>
          <w:color w:val="000000"/>
        </w:rPr>
        <w:t>The Na</w:t>
      </w:r>
      <w:r>
        <w:rPr>
          <w:bCs/>
          <w:color w:val="000000"/>
          <w:vertAlign w:val="subscript"/>
        </w:rPr>
        <w:t>2</w:t>
      </w:r>
      <w:r>
        <w:rPr>
          <w:bCs/>
          <w:color w:val="000000"/>
        </w:rPr>
        <w:t>O concentrations in Turkish perlites varied from 3.30 (perlite sample from PERQ4) to 8.51% (perlite sample from PERQ8) with a mean of 5.94%. The average Na</w:t>
      </w:r>
      <w:r>
        <w:rPr>
          <w:bCs/>
          <w:color w:val="000000"/>
          <w:vertAlign w:val="subscript"/>
        </w:rPr>
        <w:t>2</w:t>
      </w:r>
      <w:r>
        <w:rPr>
          <w:bCs/>
          <w:color w:val="000000"/>
        </w:rPr>
        <w:t>O</w:t>
      </w:r>
      <w:r>
        <w:rPr>
          <w:bCs/>
          <w:color w:val="000000"/>
          <w:vertAlign w:val="subscript"/>
        </w:rPr>
        <w:t xml:space="preserve"> </w:t>
      </w:r>
      <w:r>
        <w:rPr>
          <w:bCs/>
          <w:color w:val="000000"/>
        </w:rPr>
        <w:t>concentration is approximately 2 times higher than the average value of Earth's continental crust of 2.66% (</w:t>
      </w:r>
      <w:r>
        <w:rPr>
          <w:shd w:fill="FFFFFF" w:val="clear"/>
        </w:rPr>
        <w:t>Yaroshevsky</w:t>
      </w:r>
      <w:r>
        <w:rPr/>
        <w:t xml:space="preserve"> 2006)</w:t>
      </w:r>
      <w:r>
        <w:rPr>
          <w:lang w:val="en-GB"/>
        </w:rPr>
        <w:t>.</w:t>
      </w:r>
      <w:r>
        <w:rPr>
          <w:bCs/>
          <w:color w:val="000000"/>
        </w:rPr>
        <w:t xml:space="preserve"> T</w:t>
      </w:r>
      <w:r>
        <w:rPr/>
        <w:t xml:space="preserve">he highest </w:t>
      </w:r>
      <w:r>
        <w:rPr>
          <w:bCs/>
          <w:color w:val="000000"/>
        </w:rPr>
        <w:t>Na</w:t>
      </w:r>
      <w:r>
        <w:rPr>
          <w:bCs/>
          <w:color w:val="000000"/>
          <w:vertAlign w:val="subscript"/>
        </w:rPr>
        <w:t>2</w:t>
      </w:r>
      <w:r>
        <w:rPr>
          <w:bCs/>
          <w:color w:val="000000"/>
        </w:rPr>
        <w:t>O concentration</w:t>
      </w:r>
      <w:r>
        <w:rPr/>
        <w:t xml:space="preserve"> was analyzed in the PERQ5. The aver</w:t>
      </w:r>
      <w:bookmarkStart w:id="0" w:name="_GoBack"/>
      <w:bookmarkEnd w:id="0"/>
      <w:r>
        <w:rPr/>
        <w:t xml:space="preserve">age </w:t>
      </w:r>
      <w:r>
        <w:rPr>
          <w:bCs/>
          <w:color w:val="000000"/>
        </w:rPr>
        <w:t>Na</w:t>
      </w:r>
      <w:r>
        <w:rPr>
          <w:bCs/>
          <w:color w:val="000000"/>
          <w:vertAlign w:val="subscript"/>
        </w:rPr>
        <w:t>2</w:t>
      </w:r>
      <w:r>
        <w:rPr>
          <w:bCs/>
          <w:color w:val="000000"/>
        </w:rPr>
        <w:t>O</w:t>
      </w:r>
      <w:r>
        <w:rPr>
          <w:bCs/>
          <w:color w:val="000000"/>
          <w:vertAlign w:val="subscript"/>
        </w:rPr>
        <w:t xml:space="preserve"> </w:t>
      </w:r>
      <w:r>
        <w:rPr>
          <w:bCs/>
          <w:color w:val="000000"/>
        </w:rPr>
        <w:t>concentrations</w:t>
      </w:r>
      <w:r>
        <w:rPr/>
        <w:t xml:space="preserve"> in perlite quarries are summarized </w:t>
      </w:r>
      <w:r>
        <w:rPr>
          <w:lang w:val="en-GB"/>
        </w:rPr>
        <w:t>in descending order as follows: PERQ5 &gt; PERQ2 &gt; PERQ6 &gt; PERQ11 &gt; PERQ10 &gt; PERQ7 &gt; PERQ8 &gt; PERQ4 &gt; PERQ12 &gt; PERQ1 &gt; PERQ3 &gt; PERQ9.</w:t>
      </w:r>
    </w:p>
    <w:p>
      <w:pPr>
        <w:pStyle w:val="Normal"/>
        <w:spacing w:lineRule="auto" w:line="480"/>
        <w:jc w:val="both"/>
        <w:rPr>
          <w:lang w:val="en-GB"/>
        </w:rPr>
      </w:pPr>
      <w:r>
        <w:rPr>
          <w:bCs/>
          <w:color w:val="000000"/>
        </w:rPr>
        <w:t xml:space="preserve">   </w:t>
      </w:r>
      <w:r>
        <w:rPr>
          <w:bCs/>
          <w:color w:val="000000"/>
        </w:rPr>
        <w:t>The K</w:t>
      </w:r>
      <w:r>
        <w:rPr>
          <w:bCs/>
          <w:color w:val="000000"/>
          <w:vertAlign w:val="subscript"/>
        </w:rPr>
        <w:t>2</w:t>
      </w:r>
      <w:r>
        <w:rPr>
          <w:bCs/>
          <w:color w:val="000000"/>
        </w:rPr>
        <w:t>O concentrations in Turkish perlites varied from 2.02 (perlite sample from PERQ4) to 4.27% (perlite sample from PERQ1) with a mean of 3.49%. The average K</w:t>
      </w:r>
      <w:r>
        <w:rPr>
          <w:bCs/>
          <w:color w:val="000000"/>
          <w:vertAlign w:val="subscript"/>
        </w:rPr>
        <w:t>2</w:t>
      </w:r>
      <w:r>
        <w:rPr>
          <w:bCs/>
          <w:color w:val="000000"/>
        </w:rPr>
        <w:t>O</w:t>
      </w:r>
      <w:r>
        <w:rPr>
          <w:bCs/>
          <w:color w:val="000000"/>
          <w:vertAlign w:val="subscript"/>
        </w:rPr>
        <w:t xml:space="preserve"> </w:t>
      </w:r>
      <w:r>
        <w:rPr>
          <w:bCs/>
          <w:color w:val="000000"/>
        </w:rPr>
        <w:t>concentration is approximately 3 times higher than the average value of Earth's continental crust of 1.09% (</w:t>
      </w:r>
      <w:r>
        <w:rPr>
          <w:shd w:fill="FFFFFF" w:val="clear"/>
        </w:rPr>
        <w:t>Yaroshevsky</w:t>
      </w:r>
      <w:r>
        <w:rPr/>
        <w:t xml:space="preserve"> 2006)</w:t>
      </w:r>
      <w:r>
        <w:rPr>
          <w:lang w:val="en-GB"/>
        </w:rPr>
        <w:t>.</w:t>
      </w:r>
      <w:r>
        <w:rPr>
          <w:bCs/>
          <w:color w:val="000000"/>
        </w:rPr>
        <w:t xml:space="preserve"> T</w:t>
      </w:r>
      <w:r>
        <w:rPr/>
        <w:t xml:space="preserve">he highest </w:t>
      </w:r>
      <w:r>
        <w:rPr>
          <w:bCs/>
          <w:color w:val="000000"/>
        </w:rPr>
        <w:t>K</w:t>
      </w:r>
      <w:r>
        <w:rPr>
          <w:bCs/>
          <w:color w:val="000000"/>
          <w:vertAlign w:val="subscript"/>
        </w:rPr>
        <w:t>2</w:t>
      </w:r>
      <w:r>
        <w:rPr>
          <w:bCs/>
          <w:color w:val="000000"/>
        </w:rPr>
        <w:t>O concentration</w:t>
      </w:r>
      <w:r>
        <w:rPr/>
        <w:t xml:space="preserve"> was analyzed in the PERQ3. The average </w:t>
      </w:r>
      <w:r>
        <w:rPr>
          <w:bCs/>
          <w:color w:val="000000"/>
        </w:rPr>
        <w:t>K</w:t>
      </w:r>
      <w:r>
        <w:rPr>
          <w:bCs/>
          <w:color w:val="000000"/>
          <w:vertAlign w:val="subscript"/>
        </w:rPr>
        <w:t>2</w:t>
      </w:r>
      <w:r>
        <w:rPr>
          <w:bCs/>
          <w:color w:val="000000"/>
        </w:rPr>
        <w:t>O concentrations</w:t>
      </w:r>
      <w:r>
        <w:rPr/>
        <w:t xml:space="preserve"> in perlite quarries are summarized </w:t>
      </w:r>
      <w:r>
        <w:rPr>
          <w:lang w:val="en-GB"/>
        </w:rPr>
        <w:t>in descending order as follows: PERQ3 &gt; PERQ1 &gt; PERQ9 &gt; PERQ11 &gt; PERQ12 &gt; PERQ10 &gt; PERQ2 &gt; PERQ7 &gt; PERQ6 &gt; PERQ5 &gt; PERQ8 &gt; PERQ4.</w:t>
      </w:r>
    </w:p>
    <w:p>
      <w:pPr>
        <w:pStyle w:val="Normal"/>
        <w:spacing w:lineRule="auto" w:line="480"/>
        <w:jc w:val="both"/>
        <w:rPr>
          <w:lang w:val="en-GB"/>
        </w:rPr>
      </w:pPr>
      <w:r>
        <w:rPr>
          <w:bCs/>
          <w:color w:val="000000"/>
        </w:rPr>
        <w:t xml:space="preserve">   </w:t>
      </w:r>
      <w:r>
        <w:rPr>
          <w:bCs/>
          <w:color w:val="000000"/>
        </w:rPr>
        <w:t>The Fe</w:t>
      </w:r>
      <w:r>
        <w:rPr>
          <w:bCs/>
          <w:color w:val="000000"/>
          <w:vertAlign w:val="subscript"/>
        </w:rPr>
        <w:t>2</w:t>
      </w:r>
      <w:r>
        <w:rPr>
          <w:bCs/>
          <w:color w:val="000000"/>
        </w:rPr>
        <w:t>O</w:t>
      </w:r>
      <w:r>
        <w:rPr>
          <w:bCs/>
          <w:color w:val="000000"/>
          <w:vertAlign w:val="subscript"/>
        </w:rPr>
        <w:t>3</w:t>
      </w:r>
      <w:r>
        <w:rPr>
          <w:bCs/>
          <w:color w:val="000000"/>
        </w:rPr>
        <w:t xml:space="preserve"> concentrations in Turkish perlites varied from 0.56 (perlite sample from PERQ9) to 1.35% (perlite sample from PERQ6) with a mean of 0.94%. The average Fe</w:t>
      </w:r>
      <w:r>
        <w:rPr>
          <w:bCs/>
          <w:color w:val="000000"/>
          <w:vertAlign w:val="subscript"/>
        </w:rPr>
        <w:t>2</w:t>
      </w:r>
      <w:r>
        <w:rPr>
          <w:bCs/>
          <w:color w:val="000000"/>
        </w:rPr>
        <w:t>O</w:t>
      </w:r>
      <w:r>
        <w:rPr>
          <w:bCs/>
          <w:color w:val="000000"/>
          <w:vertAlign w:val="subscript"/>
        </w:rPr>
        <w:t xml:space="preserve">3 </w:t>
      </w:r>
      <w:r>
        <w:rPr>
          <w:bCs/>
          <w:color w:val="000000"/>
        </w:rPr>
        <w:t>concentration is lower than the average value of Earth's continental crust of 1.11% (</w:t>
      </w:r>
      <w:r>
        <w:rPr>
          <w:shd w:fill="FFFFFF" w:val="clear"/>
        </w:rPr>
        <w:t>Yaroshevsky</w:t>
      </w:r>
      <w:r>
        <w:rPr/>
        <w:t xml:space="preserve"> 2006)</w:t>
      </w:r>
      <w:r>
        <w:rPr>
          <w:lang w:val="en-GB"/>
        </w:rPr>
        <w:t>.</w:t>
      </w:r>
      <w:r>
        <w:rPr>
          <w:bCs/>
          <w:color w:val="000000"/>
        </w:rPr>
        <w:t xml:space="preserve"> However, the average Fe</w:t>
      </w:r>
      <w:r>
        <w:rPr>
          <w:bCs/>
          <w:color w:val="000000"/>
          <w:vertAlign w:val="subscript"/>
        </w:rPr>
        <w:t>2</w:t>
      </w:r>
      <w:r>
        <w:rPr>
          <w:bCs/>
          <w:color w:val="000000"/>
        </w:rPr>
        <w:t>O</w:t>
      </w:r>
      <w:r>
        <w:rPr>
          <w:bCs/>
          <w:color w:val="000000"/>
          <w:vertAlign w:val="subscript"/>
        </w:rPr>
        <w:t xml:space="preserve">3 </w:t>
      </w:r>
      <w:r>
        <w:rPr>
          <w:bCs/>
          <w:color w:val="000000"/>
        </w:rPr>
        <w:t>concentrations analyzed in perlite samples from PERQ6, PERQ11, PERQ10, and PERQ3 are slightly higher than the average value of Earth's continental crust. T</w:t>
      </w:r>
      <w:r>
        <w:rPr/>
        <w:t xml:space="preserve">he highest </w:t>
      </w:r>
      <w:r>
        <w:rPr>
          <w:bCs/>
          <w:color w:val="000000"/>
        </w:rPr>
        <w:t>Fe</w:t>
      </w:r>
      <w:r>
        <w:rPr>
          <w:bCs/>
          <w:color w:val="000000"/>
          <w:vertAlign w:val="subscript"/>
        </w:rPr>
        <w:t>2</w:t>
      </w:r>
      <w:r>
        <w:rPr>
          <w:bCs/>
          <w:color w:val="000000"/>
        </w:rPr>
        <w:t>O</w:t>
      </w:r>
      <w:r>
        <w:rPr>
          <w:bCs/>
          <w:color w:val="000000"/>
          <w:vertAlign w:val="subscript"/>
        </w:rPr>
        <w:t>3</w:t>
      </w:r>
      <w:r>
        <w:rPr>
          <w:bCs/>
          <w:color w:val="000000"/>
        </w:rPr>
        <w:t xml:space="preserve"> concentration</w:t>
      </w:r>
      <w:r>
        <w:rPr/>
        <w:t xml:space="preserve"> was analyzed in the PERQ6. The average </w:t>
      </w:r>
      <w:r>
        <w:rPr>
          <w:bCs/>
          <w:color w:val="000000"/>
        </w:rPr>
        <w:t>Fe</w:t>
      </w:r>
      <w:r>
        <w:rPr>
          <w:bCs/>
          <w:color w:val="000000"/>
          <w:vertAlign w:val="subscript"/>
        </w:rPr>
        <w:t>2</w:t>
      </w:r>
      <w:r>
        <w:rPr>
          <w:bCs/>
          <w:color w:val="000000"/>
        </w:rPr>
        <w:t>O</w:t>
      </w:r>
      <w:r>
        <w:rPr>
          <w:bCs/>
          <w:color w:val="000000"/>
          <w:vertAlign w:val="subscript"/>
        </w:rPr>
        <w:t>3</w:t>
      </w:r>
      <w:r>
        <w:rPr>
          <w:bCs/>
          <w:color w:val="000000"/>
        </w:rPr>
        <w:t xml:space="preserve"> concentrations</w:t>
      </w:r>
      <w:r>
        <w:rPr/>
        <w:t xml:space="preserve"> in perlite quarries are summarized </w:t>
      </w:r>
      <w:r>
        <w:rPr>
          <w:lang w:val="en-GB"/>
        </w:rPr>
        <w:t>in descending order as follows: PERQ6 &gt; PERQ11 &gt; PERQ10 &gt; PERQ3 &gt; PERQ2 &gt; PERQ1 &gt; PERQ12 &gt; PERQ8 &gt; PERQ7 &gt; PERQ5 &gt; PERQ4 &gt; PERQ9.</w:t>
      </w:r>
    </w:p>
    <w:p>
      <w:pPr>
        <w:pStyle w:val="Normal"/>
        <w:spacing w:lineRule="auto" w:line="480"/>
        <w:jc w:val="both"/>
        <w:rPr>
          <w:lang w:val="en-GB"/>
        </w:rPr>
      </w:pPr>
      <w:r>
        <w:rPr>
          <w:bCs/>
          <w:color w:val="000000"/>
        </w:rPr>
        <w:t xml:space="preserve">   </w:t>
      </w:r>
      <w:r>
        <w:rPr>
          <w:bCs/>
          <w:color w:val="000000"/>
        </w:rPr>
        <w:t>The CaO concentrations in Turkish perlites varied from 0.25 (perlite sample from PERQ5) to 1.20% (perlite sample from PERQ10) with a mean of 0.71%. The average CaO</w:t>
      </w:r>
      <w:r>
        <w:rPr>
          <w:bCs/>
          <w:color w:val="000000"/>
          <w:vertAlign w:val="subscript"/>
        </w:rPr>
        <w:t xml:space="preserve"> </w:t>
      </w:r>
      <w:r>
        <w:rPr>
          <w:bCs/>
          <w:color w:val="000000"/>
        </w:rPr>
        <w:t>concentration is lower than the average value of Earth's continental crust of 9.41% (</w:t>
      </w:r>
      <w:r>
        <w:rPr>
          <w:shd w:fill="FFFFFF" w:val="clear"/>
        </w:rPr>
        <w:t>Yaroshevsky</w:t>
      </w:r>
      <w:r>
        <w:rPr/>
        <w:t xml:space="preserve"> 2006)</w:t>
      </w:r>
      <w:r>
        <w:rPr>
          <w:lang w:val="en-GB"/>
        </w:rPr>
        <w:t>.</w:t>
      </w:r>
      <w:r>
        <w:rPr>
          <w:bCs/>
          <w:color w:val="000000"/>
        </w:rPr>
        <w:t xml:space="preserve"> T</w:t>
      </w:r>
      <w:r>
        <w:rPr/>
        <w:t xml:space="preserve">he highest </w:t>
      </w:r>
      <w:r>
        <w:rPr>
          <w:bCs/>
          <w:color w:val="000000"/>
        </w:rPr>
        <w:t>CaO concentration</w:t>
      </w:r>
      <w:r>
        <w:rPr/>
        <w:t xml:space="preserve"> was analyzed in the PERQ11. The average </w:t>
      </w:r>
      <w:r>
        <w:rPr>
          <w:bCs/>
          <w:color w:val="000000"/>
        </w:rPr>
        <w:t>CaO concentrations</w:t>
      </w:r>
      <w:r>
        <w:rPr/>
        <w:t xml:space="preserve"> in perlite quarries are summarized </w:t>
      </w:r>
      <w:r>
        <w:rPr>
          <w:lang w:val="en-GB"/>
        </w:rPr>
        <w:t>in descending order as follows: PERQ11 &gt; PERQ10 &gt; PERQ6 &gt; PERQ3 &gt; PERQ12 &gt; PERQ8 &gt; PERQ2 &gt; PERQ4 &gt; PERQ9 &gt; PERQ7 &gt; PERQ1 &gt; PERQ5.</w:t>
      </w:r>
    </w:p>
    <w:p>
      <w:pPr>
        <w:pStyle w:val="Normal"/>
        <w:spacing w:lineRule="auto" w:line="480"/>
        <w:jc w:val="both"/>
        <w:rPr>
          <w:lang w:val="en-GB"/>
        </w:rPr>
      </w:pPr>
      <w:r>
        <w:rPr>
          <w:bCs/>
          <w:color w:val="000000"/>
        </w:rPr>
        <w:t xml:space="preserve">   </w:t>
      </w:r>
      <w:r>
        <w:rPr>
          <w:bCs/>
          <w:color w:val="000000"/>
        </w:rPr>
        <w:t>The MgO concentrations in Turkish perlites varied from 0.05 (perlite sample from PERQ5) to 1.33% (perlite sample from PERQ12) with a mean of 0.56%. The average MgO</w:t>
      </w:r>
      <w:r>
        <w:rPr>
          <w:bCs/>
          <w:color w:val="000000"/>
          <w:vertAlign w:val="subscript"/>
        </w:rPr>
        <w:t xml:space="preserve"> </w:t>
      </w:r>
      <w:r>
        <w:rPr>
          <w:bCs/>
          <w:color w:val="000000"/>
        </w:rPr>
        <w:t>concentration is lower than the average value of Earth's continental crust of 5.44% (</w:t>
      </w:r>
      <w:r>
        <w:rPr>
          <w:shd w:fill="FFFFFF" w:val="clear"/>
        </w:rPr>
        <w:t>Yaroshevsky</w:t>
      </w:r>
      <w:r>
        <w:rPr/>
        <w:t xml:space="preserve"> 2006)</w:t>
      </w:r>
      <w:r>
        <w:rPr>
          <w:lang w:val="en-GB"/>
        </w:rPr>
        <w:t>.</w:t>
      </w:r>
      <w:r>
        <w:rPr>
          <w:bCs/>
          <w:color w:val="000000"/>
        </w:rPr>
        <w:t xml:space="preserve"> T</w:t>
      </w:r>
      <w:r>
        <w:rPr/>
        <w:t xml:space="preserve">he highest </w:t>
      </w:r>
      <w:r>
        <w:rPr>
          <w:bCs/>
          <w:color w:val="000000"/>
        </w:rPr>
        <w:t>MgO concentration</w:t>
      </w:r>
      <w:r>
        <w:rPr/>
        <w:t xml:space="preserve"> was analyzed in the PERQ12. The average </w:t>
      </w:r>
      <w:r>
        <w:rPr>
          <w:bCs/>
          <w:color w:val="000000"/>
        </w:rPr>
        <w:t>MgO concentrations</w:t>
      </w:r>
      <w:r>
        <w:rPr/>
        <w:t xml:space="preserve"> in perlite quarries are summarized </w:t>
      </w:r>
      <w:r>
        <w:rPr>
          <w:lang w:val="en-GB"/>
        </w:rPr>
        <w:t>in descending order as follows: PERQ12 &gt; PERQ9 &gt; PERQ4 &gt; PERQ8 &gt; PERQ1 &gt; PERQ3 &gt; PERQ10 &gt; PERQ11 &gt; PERQ7 &gt; PERQ6 &gt; PERQ2 &gt; PERQ5.</w:t>
      </w:r>
    </w:p>
    <w:p>
      <w:pPr>
        <w:pStyle w:val="Normal"/>
        <w:spacing w:lineRule="auto" w:line="480"/>
        <w:jc w:val="both"/>
        <w:rPr>
          <w:lang w:val="en-GB"/>
        </w:rPr>
      </w:pPr>
      <w:r>
        <w:rPr>
          <w:bCs/>
          <w:color w:val="000000"/>
        </w:rPr>
        <w:t xml:space="preserve">   </w:t>
      </w:r>
      <w:r>
        <w:rPr>
          <w:bCs/>
          <w:color w:val="000000"/>
        </w:rPr>
        <w:t>The TiO</w:t>
      </w:r>
      <w:r>
        <w:rPr>
          <w:bCs/>
          <w:color w:val="000000"/>
          <w:vertAlign w:val="subscript"/>
        </w:rPr>
        <w:t>2</w:t>
      </w:r>
      <w:r>
        <w:rPr>
          <w:bCs/>
          <w:color w:val="000000"/>
        </w:rPr>
        <w:t xml:space="preserve"> concentrations in Turkish perlites varied from 0.02 (perlite sample from PERQ2) to 0.14% (perlite sample from PERQ11) with a mean of 0.09%. The average TiO</w:t>
      </w:r>
      <w:r>
        <w:rPr>
          <w:bCs/>
          <w:color w:val="000000"/>
          <w:vertAlign w:val="subscript"/>
        </w:rPr>
        <w:t xml:space="preserve">2 </w:t>
      </w:r>
      <w:r>
        <w:rPr>
          <w:bCs/>
          <w:color w:val="000000"/>
        </w:rPr>
        <w:t>concentration is lower than the average value of Earth's continental crust of 0.97% (</w:t>
      </w:r>
      <w:r>
        <w:rPr>
          <w:shd w:fill="FFFFFF" w:val="clear"/>
        </w:rPr>
        <w:t>Yaroshevsky</w:t>
      </w:r>
      <w:r>
        <w:rPr/>
        <w:t xml:space="preserve"> 2006)</w:t>
      </w:r>
      <w:r>
        <w:rPr>
          <w:lang w:val="en-GB"/>
        </w:rPr>
        <w:t>.</w:t>
      </w:r>
      <w:r>
        <w:rPr>
          <w:bCs/>
          <w:color w:val="000000"/>
        </w:rPr>
        <w:t xml:space="preserve"> T</w:t>
      </w:r>
      <w:r>
        <w:rPr/>
        <w:t xml:space="preserve">he highest </w:t>
      </w:r>
      <w:r>
        <w:rPr>
          <w:bCs/>
          <w:color w:val="000000"/>
        </w:rPr>
        <w:t>TiO</w:t>
      </w:r>
      <w:r>
        <w:rPr>
          <w:bCs/>
          <w:color w:val="000000"/>
          <w:vertAlign w:val="subscript"/>
        </w:rPr>
        <w:t xml:space="preserve">2 </w:t>
      </w:r>
      <w:r>
        <w:rPr>
          <w:bCs/>
          <w:color w:val="000000"/>
        </w:rPr>
        <w:t>concentration</w:t>
      </w:r>
      <w:r>
        <w:rPr/>
        <w:t xml:space="preserve"> was analyzed in the PERQ11. The average </w:t>
      </w:r>
      <w:r>
        <w:rPr>
          <w:bCs/>
          <w:color w:val="000000"/>
        </w:rPr>
        <w:t>TiO</w:t>
      </w:r>
      <w:r>
        <w:rPr>
          <w:bCs/>
          <w:color w:val="000000"/>
          <w:vertAlign w:val="subscript"/>
        </w:rPr>
        <w:t>2</w:t>
      </w:r>
      <w:r>
        <w:rPr>
          <w:bCs/>
          <w:color w:val="000000"/>
        </w:rPr>
        <w:t xml:space="preserve"> concentrations</w:t>
      </w:r>
      <w:r>
        <w:rPr/>
        <w:t xml:space="preserve"> in perlite quarries are summarized </w:t>
      </w:r>
      <w:r>
        <w:rPr>
          <w:lang w:val="en-GB"/>
        </w:rPr>
        <w:t>in descending order as follows: PERQ11 &gt; PERQ10 &gt; PERQ12 &gt; PERQ9 &gt; PERQ6 &gt; PERQ3 &gt; PERQ1 &gt; PERQ8 &gt; PERQ4 &gt; PERQ7 &gt; PERQ5 &gt; PERQ2.</w:t>
      </w:r>
    </w:p>
    <w:p>
      <w:pPr>
        <w:pStyle w:val="Normal"/>
        <w:spacing w:lineRule="auto" w:line="480"/>
        <w:jc w:val="both"/>
        <w:rPr>
          <w:lang w:val="en-GB"/>
        </w:rPr>
      </w:pPr>
      <w:r>
        <w:rPr>
          <w:bCs/>
          <w:color w:val="000000"/>
        </w:rPr>
        <w:t xml:space="preserve">   </w:t>
      </w:r>
      <w:r>
        <w:rPr>
          <w:bCs/>
          <w:color w:val="000000"/>
        </w:rPr>
        <w:t>The MnO concentrations in Turkish perlites varied from 0.03 (perlite sample from PERQ3) to 0.07% (perlite sample from PERQ5) with a mean of 0.05%. The average MnO</w:t>
      </w:r>
      <w:r>
        <w:rPr>
          <w:bCs/>
          <w:color w:val="000000"/>
          <w:vertAlign w:val="subscript"/>
        </w:rPr>
        <w:t xml:space="preserve"> </w:t>
      </w:r>
      <w:r>
        <w:rPr>
          <w:bCs/>
          <w:color w:val="000000"/>
        </w:rPr>
        <w:t>concentration is lower than the average value of Earth's continental crust of 0.16% (</w:t>
      </w:r>
      <w:r>
        <w:rPr>
          <w:shd w:fill="FFFFFF" w:val="clear"/>
        </w:rPr>
        <w:t>Yaroshevsky</w:t>
      </w:r>
      <w:r>
        <w:rPr/>
        <w:t xml:space="preserve"> 2006)</w:t>
      </w:r>
      <w:r>
        <w:rPr>
          <w:lang w:val="en-GB"/>
        </w:rPr>
        <w:t>.</w:t>
      </w:r>
      <w:r>
        <w:rPr>
          <w:bCs/>
          <w:color w:val="000000"/>
        </w:rPr>
        <w:t xml:space="preserve"> T</w:t>
      </w:r>
      <w:r>
        <w:rPr/>
        <w:t xml:space="preserve">he highest </w:t>
      </w:r>
      <w:r>
        <w:rPr>
          <w:bCs/>
          <w:color w:val="000000"/>
        </w:rPr>
        <w:t>MnO concentration</w:t>
      </w:r>
      <w:r>
        <w:rPr/>
        <w:t xml:space="preserve"> was analyzed in the PERQ11. The average </w:t>
      </w:r>
      <w:r>
        <w:rPr>
          <w:bCs/>
          <w:color w:val="000000"/>
        </w:rPr>
        <w:t>MnO concentrations</w:t>
      </w:r>
      <w:r>
        <w:rPr/>
        <w:t xml:space="preserve"> in perlite quarries are summarized </w:t>
      </w:r>
      <w:r>
        <w:rPr>
          <w:lang w:val="en-GB"/>
        </w:rPr>
        <w:t>in descending order as follows: PERQ11 &gt; PERQ10 &gt; PERQ5 &gt; PERQ7 &gt; PERQ6 &gt; PERQ8 &gt; PERQ2 &gt; PERQ4 &gt; PERQ12 &gt; PERQ1 &gt; PERQ3 &gt; PERQ9.</w:t>
      </w:r>
    </w:p>
    <w:p>
      <w:pPr>
        <w:pStyle w:val="Normal"/>
        <w:spacing w:lineRule="auto" w:line="480"/>
        <w:jc w:val="both"/>
        <w:rPr>
          <w:lang w:val="en-GB"/>
        </w:rPr>
      </w:pPr>
      <w:r>
        <w:rPr>
          <w:bCs/>
          <w:color w:val="000000"/>
        </w:rPr>
        <w:t xml:space="preserve">   </w:t>
      </w:r>
      <w:r>
        <w:rPr>
          <w:bCs/>
          <w:color w:val="000000"/>
        </w:rPr>
        <w:t>The P</w:t>
      </w:r>
      <w:r>
        <w:rPr>
          <w:bCs/>
          <w:color w:val="000000"/>
          <w:vertAlign w:val="subscript"/>
        </w:rPr>
        <w:t>2</w:t>
      </w:r>
      <w:r>
        <w:rPr>
          <w:bCs/>
          <w:color w:val="000000"/>
        </w:rPr>
        <w:t>O</w:t>
      </w:r>
      <w:r>
        <w:rPr>
          <w:bCs/>
          <w:color w:val="000000"/>
          <w:vertAlign w:val="subscript"/>
        </w:rPr>
        <w:t>5</w:t>
      </w:r>
      <w:r>
        <w:rPr>
          <w:bCs/>
          <w:color w:val="000000"/>
        </w:rPr>
        <w:t xml:space="preserve"> concentrations in Turkish perlites varied from 0.01 to 0.04% with a mean of 0.02%. The average P</w:t>
      </w:r>
      <w:r>
        <w:rPr>
          <w:bCs/>
          <w:color w:val="000000"/>
          <w:vertAlign w:val="subscript"/>
        </w:rPr>
        <w:t>2</w:t>
      </w:r>
      <w:r>
        <w:rPr>
          <w:bCs/>
          <w:color w:val="000000"/>
        </w:rPr>
        <w:t>O</w:t>
      </w:r>
      <w:r>
        <w:rPr>
          <w:bCs/>
          <w:color w:val="000000"/>
          <w:vertAlign w:val="subscript"/>
        </w:rPr>
        <w:t xml:space="preserve">5 </w:t>
      </w:r>
      <w:r>
        <w:rPr>
          <w:bCs/>
          <w:color w:val="000000"/>
        </w:rPr>
        <w:t>concentration is lower than the average value of Earth's continental crust of 0.19% (</w:t>
      </w:r>
      <w:r>
        <w:rPr>
          <w:shd w:fill="FFFFFF" w:val="clear"/>
        </w:rPr>
        <w:t>Yaroshevsky</w:t>
      </w:r>
      <w:r>
        <w:rPr/>
        <w:t xml:space="preserve"> 2006)</w:t>
      </w:r>
      <w:r>
        <w:rPr>
          <w:lang w:val="en-GB"/>
        </w:rPr>
        <w:t>.</w:t>
      </w:r>
      <w:r>
        <w:rPr>
          <w:bCs/>
          <w:color w:val="000000"/>
        </w:rPr>
        <w:t xml:space="preserve"> T</w:t>
      </w:r>
      <w:r>
        <w:rPr/>
        <w:t xml:space="preserve">he highest </w:t>
      </w:r>
      <w:r>
        <w:rPr>
          <w:bCs/>
          <w:color w:val="000000"/>
        </w:rPr>
        <w:t>P</w:t>
      </w:r>
      <w:r>
        <w:rPr>
          <w:bCs/>
          <w:color w:val="000000"/>
          <w:vertAlign w:val="subscript"/>
        </w:rPr>
        <w:t>2</w:t>
      </w:r>
      <w:r>
        <w:rPr>
          <w:bCs/>
          <w:color w:val="000000"/>
        </w:rPr>
        <w:t>O</w:t>
      </w:r>
      <w:r>
        <w:rPr>
          <w:bCs/>
          <w:color w:val="000000"/>
          <w:vertAlign w:val="subscript"/>
        </w:rPr>
        <w:t>5</w:t>
      </w:r>
      <w:r>
        <w:rPr>
          <w:bCs/>
          <w:color w:val="000000"/>
        </w:rPr>
        <w:t xml:space="preserve"> concentration</w:t>
      </w:r>
      <w:r>
        <w:rPr/>
        <w:t xml:space="preserve"> was analyzed in the PERQ11. The average </w:t>
      </w:r>
      <w:r>
        <w:rPr>
          <w:bCs/>
          <w:color w:val="000000"/>
        </w:rPr>
        <w:t>P</w:t>
      </w:r>
      <w:r>
        <w:rPr>
          <w:bCs/>
          <w:color w:val="000000"/>
          <w:vertAlign w:val="subscript"/>
        </w:rPr>
        <w:t>2</w:t>
      </w:r>
      <w:r>
        <w:rPr>
          <w:bCs/>
          <w:color w:val="000000"/>
        </w:rPr>
        <w:t>O</w:t>
      </w:r>
      <w:r>
        <w:rPr>
          <w:bCs/>
          <w:color w:val="000000"/>
          <w:vertAlign w:val="subscript"/>
        </w:rPr>
        <w:t>5</w:t>
      </w:r>
      <w:r>
        <w:rPr>
          <w:bCs/>
          <w:color w:val="000000"/>
        </w:rPr>
        <w:t xml:space="preserve"> concentrations</w:t>
      </w:r>
      <w:r>
        <w:rPr/>
        <w:t xml:space="preserve"> in perlite quarries are summarized </w:t>
      </w:r>
      <w:r>
        <w:rPr>
          <w:lang w:val="en-GB"/>
        </w:rPr>
        <w:t>in descending order as follows: PERQ11 &gt; PERQ10 &gt; PERQ12 &gt; PERQ6 &gt; PERQ3 &gt; PERQ9 &gt; PERQ1 &gt; PERQ7 &gt; PERQ4 &gt; PERQ8 &gt; PERQ5 &gt; PERQ2.</w:t>
      </w:r>
    </w:p>
    <w:p>
      <w:pPr>
        <w:pStyle w:val="Normal"/>
        <w:spacing w:lineRule="auto" w:line="480"/>
        <w:jc w:val="both"/>
        <w:rPr>
          <w:b/>
          <w:b/>
          <w:color w:val="000000" w:themeColor="text1"/>
          <w:lang w:val="en-GB"/>
        </w:rPr>
      </w:pPr>
      <w:r>
        <w:rPr>
          <w:b/>
          <w:color w:val="000000" w:themeColor="text1"/>
          <w:lang w:val="en-GB"/>
        </w:rPr>
        <w:t>3.2. A</w:t>
      </w:r>
      <w:r>
        <w:rPr>
          <w:b/>
          <w:color w:val="000000" w:themeColor="text1"/>
          <w:shd w:fill="FFFFFF" w:val="clear"/>
        </w:rPr>
        <w:t>lkaline earth metals</w:t>
      </w:r>
      <w:r>
        <w:rPr>
          <w:b/>
          <w:color w:val="000000" w:themeColor="text1"/>
          <w:lang w:val="en-GB"/>
        </w:rPr>
        <w:t xml:space="preserve"> of perlite samples</w:t>
      </w:r>
    </w:p>
    <w:p>
      <w:pPr>
        <w:pStyle w:val="Normal"/>
        <w:spacing w:lineRule="auto" w:line="480"/>
        <w:jc w:val="both"/>
        <w:rPr/>
      </w:pPr>
      <w:r>
        <w:rPr>
          <w:bCs/>
        </w:rPr>
        <w:t xml:space="preserve">The average and range (min-max) values of </w:t>
      </w:r>
      <w:r>
        <w:rPr/>
        <w:t>alkaline earth metals</w:t>
      </w:r>
      <w:r>
        <w:rPr>
          <w:bCs/>
        </w:rPr>
        <w:t xml:space="preserve"> analyzed in all perlite quarries are given in Table 6. </w:t>
      </w:r>
      <w:r>
        <w:rPr/>
        <w:t xml:space="preserve">From Table 6, alkaline earth metals analyzed in perlite samples are ranked </w:t>
      </w:r>
      <w:r>
        <w:rPr>
          <w:color w:val="000000"/>
          <w:lang w:val="en-GB"/>
        </w:rPr>
        <w:t>in descending order as follows</w:t>
      </w:r>
      <w:r>
        <w:rPr/>
        <w:t>: Ca &gt; Mg &gt; Ba &gt; Sr according to their average concentration.</w:t>
      </w:r>
    </w:p>
    <w:p>
      <w:pPr>
        <w:pStyle w:val="Normal"/>
        <w:spacing w:lineRule="auto" w:line="480"/>
        <w:jc w:val="both"/>
        <w:rPr>
          <w:lang w:val="en-GB"/>
        </w:rPr>
      </w:pPr>
      <w:r>
        <w:rPr/>
        <w:t xml:space="preserve">   </w:t>
      </w:r>
      <w:r>
        <w:rPr>
          <w:shd w:fill="FFFFFF" w:val="clear"/>
          <w:lang w:val="en-GB"/>
        </w:rPr>
        <w:t xml:space="preserve">The Ca concentrations in the perlite samples varied from 1752 to 12030 mg/kg </w:t>
      </w:r>
      <w:r>
        <w:rPr>
          <w:lang w:val="en-GB"/>
        </w:rPr>
        <w:t xml:space="preserve">with an average value of 5099 </w:t>
      </w:r>
      <w:r>
        <w:rPr>
          <w:shd w:fill="FFFFFF" w:val="clear"/>
          <w:lang w:val="en-GB"/>
        </w:rPr>
        <w:t>mg/kg, which is</w:t>
      </w:r>
      <w:r>
        <w:rPr>
          <w:lang w:val="en-GB"/>
        </w:rPr>
        <w:t xml:space="preserve"> lower than the </w:t>
      </w:r>
      <w:r>
        <w:rPr>
          <w:bCs/>
          <w:color w:val="000000"/>
        </w:rPr>
        <w:t xml:space="preserve">Earth's continental crust average </w:t>
      </w:r>
      <w:r>
        <w:rPr>
          <w:lang w:val="en-GB"/>
        </w:rPr>
        <w:t>of 29600 </w:t>
      </w:r>
      <w:r>
        <w:rPr>
          <w:shd w:fill="FFFFFF" w:val="clear"/>
          <w:lang w:val="en-GB"/>
        </w:rPr>
        <w:t xml:space="preserve">mg/kg </w:t>
      </w:r>
      <w:r>
        <w:rPr/>
        <w:t>(</w:t>
      </w:r>
      <w:r>
        <w:rPr>
          <w:shd w:fill="FFFFFF" w:val="clear"/>
        </w:rPr>
        <w:t>Yaroshevsky</w:t>
      </w:r>
      <w:r>
        <w:rPr/>
        <w:t xml:space="preserve"> 2006)</w:t>
      </w:r>
      <w:r>
        <w:rPr>
          <w:lang w:val="en-GB"/>
        </w:rPr>
        <w:t xml:space="preserve">. </w:t>
      </w:r>
      <w:r>
        <w:rPr>
          <w:bCs/>
          <w:color w:val="000000"/>
        </w:rPr>
        <w:t>T</w:t>
      </w:r>
      <w:r>
        <w:rPr/>
        <w:t xml:space="preserve">he highest </w:t>
      </w:r>
      <w:r>
        <w:rPr>
          <w:bCs/>
          <w:color w:val="000000"/>
        </w:rPr>
        <w:t>Ca concentration</w:t>
      </w:r>
      <w:r>
        <w:rPr/>
        <w:t xml:space="preserve"> was analyzed in the PERQ11. The average </w:t>
      </w:r>
      <w:r>
        <w:rPr>
          <w:bCs/>
          <w:color w:val="000000"/>
        </w:rPr>
        <w:t>Ca concentrations</w:t>
      </w:r>
      <w:r>
        <w:rPr/>
        <w:t xml:space="preserve"> in perlite quarries are summarized </w:t>
      </w:r>
      <w:r>
        <w:rPr>
          <w:lang w:val="en-GB"/>
        </w:rPr>
        <w:t>in descending order as follows: PERQ11 &gt; PERQ10 &gt; PERQ6 &gt; PERQ3 &gt; PERQ12 &gt; PERQ8 &gt; PERQ2 &gt; PERQ4 &gt; PERQ9 &gt; PERQ7 &gt; PERQ1 &gt; PERQ5.</w:t>
      </w:r>
    </w:p>
    <w:p>
      <w:pPr>
        <w:pStyle w:val="Normal"/>
        <w:spacing w:lineRule="auto" w:line="480"/>
        <w:jc w:val="both"/>
        <w:rPr>
          <w:lang w:val="en-GB"/>
        </w:rPr>
      </w:pPr>
      <w:r>
        <w:rPr>
          <w:bCs/>
          <w:color w:val="000000"/>
        </w:rPr>
        <w:t xml:space="preserve">   </w:t>
      </w:r>
      <w:r>
        <w:rPr>
          <w:shd w:fill="FFFFFF" w:val="clear"/>
          <w:lang w:val="en-GB"/>
        </w:rPr>
        <w:t xml:space="preserve">The Mg concentrations in the perlite samples varied from 313 to 8044 mg/kg </w:t>
      </w:r>
      <w:r>
        <w:rPr>
          <w:lang w:val="en-GB"/>
        </w:rPr>
        <w:t>with an average value of 3373 </w:t>
      </w:r>
      <w:r>
        <w:rPr>
          <w:shd w:fill="FFFFFF" w:val="clear"/>
          <w:lang w:val="en-GB"/>
        </w:rPr>
        <w:t>mg/kg, which is</w:t>
      </w:r>
      <w:r>
        <w:rPr>
          <w:lang w:val="en-GB"/>
        </w:rPr>
        <w:t xml:space="preserve"> lower than the </w:t>
      </w:r>
      <w:r>
        <w:rPr>
          <w:bCs/>
          <w:color w:val="000000"/>
        </w:rPr>
        <w:t xml:space="preserve">Earth's continental crust average </w:t>
      </w:r>
      <w:r>
        <w:rPr>
          <w:lang w:val="en-GB"/>
        </w:rPr>
        <w:t>of 18700 </w:t>
      </w:r>
      <w:r>
        <w:rPr>
          <w:shd w:fill="FFFFFF" w:val="clear"/>
          <w:lang w:val="en-GB"/>
        </w:rPr>
        <w:t xml:space="preserve">mg/kg </w:t>
      </w:r>
      <w:r>
        <w:rPr/>
        <w:t>(</w:t>
      </w:r>
      <w:r>
        <w:rPr>
          <w:shd w:fill="FFFFFF" w:val="clear"/>
        </w:rPr>
        <w:t>Yaroshevsky</w:t>
      </w:r>
      <w:r>
        <w:rPr/>
        <w:t xml:space="preserve"> 2006)</w:t>
      </w:r>
      <w:r>
        <w:rPr>
          <w:lang w:val="en-GB"/>
        </w:rPr>
        <w:t>.</w:t>
      </w:r>
      <w:r>
        <w:rPr>
          <w:color w:val="000000"/>
          <w:lang w:val="en-GB"/>
        </w:rPr>
        <w:t xml:space="preserve"> </w:t>
      </w:r>
      <w:r>
        <w:rPr>
          <w:bCs/>
          <w:color w:val="000000"/>
        </w:rPr>
        <w:t>T</w:t>
      </w:r>
      <w:r>
        <w:rPr/>
        <w:t xml:space="preserve">he highest </w:t>
      </w:r>
      <w:r>
        <w:rPr>
          <w:bCs/>
          <w:color w:val="000000"/>
        </w:rPr>
        <w:t>Mg concentration</w:t>
      </w:r>
      <w:r>
        <w:rPr/>
        <w:t xml:space="preserve"> was analyzed in the PERQ12. The average </w:t>
      </w:r>
      <w:r>
        <w:rPr>
          <w:bCs/>
          <w:color w:val="000000"/>
        </w:rPr>
        <w:t>Mg concentrations</w:t>
      </w:r>
      <w:r>
        <w:rPr/>
        <w:t xml:space="preserve"> in perlite quarries are summarized </w:t>
      </w:r>
      <w:r>
        <w:rPr>
          <w:lang w:val="en-GB"/>
        </w:rPr>
        <w:t>in descending order as follows: PERQ12 &gt; PERQ9 &gt; PERQ4 &gt; PERQ8 &gt; PERQ1 &gt; PERQ3 &gt; PERQ10 &gt; PERQ11 &gt; PERQ7 &gt; PERQ6 &gt; PERQ2 &gt; PERQ5.</w:t>
      </w:r>
    </w:p>
    <w:p>
      <w:pPr>
        <w:pStyle w:val="Heading2"/>
        <w:spacing w:before="0" w:after="240"/>
        <w:jc w:val="left"/>
        <w:rPr>
          <w:b w:val="false"/>
          <w:b w:val="false"/>
        </w:rPr>
      </w:pPr>
      <w:r>
        <w:rPr>
          <w:shd w:fill="FFFFFF" w:val="clear"/>
        </w:rPr>
        <w:t xml:space="preserve">Table 6. </w:t>
      </w:r>
      <w:r>
        <w:rPr>
          <w:b w:val="false"/>
          <w:shd w:fill="FFFFFF" w:val="clear"/>
        </w:rPr>
        <w:t>C</w:t>
      </w:r>
      <w:r>
        <w:rPr>
          <w:b w:val="false"/>
        </w:rPr>
        <w:t>oncentrations of alkaline earth metals</w:t>
      </w:r>
      <w:r>
        <w:rPr/>
        <w:t xml:space="preserve"> </w:t>
      </w:r>
      <w:r>
        <w:rPr>
          <w:b w:val="false"/>
        </w:rPr>
        <w:t xml:space="preserve">in perlite quarries </w:t>
      </w:r>
    </w:p>
    <w:tbl>
      <w:tblPr>
        <w:tblW w:w="7812"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1520"/>
        <w:gridCol w:w="1119"/>
        <w:gridCol w:w="1176"/>
        <w:gridCol w:w="1379"/>
        <w:gridCol w:w="971"/>
        <w:gridCol w:w="1646"/>
      </w:tblGrid>
      <w:tr>
        <w:trPr>
          <w:trHeight w:val="315" w:hRule="atLeast"/>
        </w:trPr>
        <w:tc>
          <w:tcPr>
            <w:tcW w:w="1520" w:type="dxa"/>
            <w:vMerge w:val="restart"/>
            <w:tcBorders>
              <w:top w:val="single" w:sz="4" w:space="0" w:color="000000"/>
              <w:bottom w:val="single" w:sz="4" w:space="0" w:color="000000"/>
            </w:tcBorders>
            <w:shd w:color="auto" w:fill="auto" w:val="clear"/>
          </w:tcPr>
          <w:p>
            <w:pPr>
              <w:pStyle w:val="Normal"/>
              <w:widowControl w:val="false"/>
              <w:spacing w:before="0" w:after="60"/>
              <w:rPr>
                <w:color w:val="000000"/>
                <w:lang w:val="en-GB" w:eastAsia="en-GB"/>
              </w:rPr>
            </w:pPr>
            <w:r>
              <w:rPr>
                <w:color w:val="000000"/>
                <w:lang w:val="en-GB" w:eastAsia="en-GB"/>
              </w:rPr>
              <w:t>Sample code</w:t>
            </w:r>
          </w:p>
        </w:tc>
        <w:tc>
          <w:tcPr>
            <w:tcW w:w="1119" w:type="dxa"/>
            <w:vMerge w:val="restart"/>
            <w:tcBorders>
              <w:top w:val="single" w:sz="4" w:space="0" w:color="000000"/>
              <w:bottom w:val="single" w:sz="4" w:space="0" w:color="000000"/>
            </w:tcBorders>
            <w:shd w:color="auto" w:fill="auto" w:val="clear"/>
            <w:vAlign w:val="bottom"/>
          </w:tcPr>
          <w:p>
            <w:pPr>
              <w:pStyle w:val="Normal"/>
              <w:widowControl w:val="false"/>
              <w:spacing w:before="0" w:after="60"/>
              <w:jc w:val="center"/>
              <w:rPr>
                <w:rFonts w:ascii="Calibri" w:hAnsi="Calibri" w:cs="Calibri"/>
                <w:color w:val="000000"/>
                <w:sz w:val="22"/>
                <w:szCs w:val="22"/>
                <w:lang w:val="en-GB" w:eastAsia="en-GB"/>
              </w:rPr>
            </w:pPr>
            <w:r>
              <w:rPr/>
            </w:r>
          </w:p>
        </w:tc>
        <w:tc>
          <w:tcPr>
            <w:tcW w:w="5172" w:type="dxa"/>
            <w:gridSpan w:val="4"/>
            <w:tcBorders>
              <w:top w:val="single" w:sz="4" w:space="0" w:color="000000"/>
              <w:bottom w:val="single" w:sz="4" w:space="0" w:color="000000"/>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Concentration of alkaline earth metals (mg/kg)</w:t>
            </w:r>
          </w:p>
        </w:tc>
      </w:tr>
      <w:tr>
        <w:trPr>
          <w:trHeight w:val="315" w:hRule="atLeast"/>
        </w:trPr>
        <w:tc>
          <w:tcPr>
            <w:tcW w:w="1520" w:type="dxa"/>
            <w:vMerge w:val="continue"/>
            <w:tcBorders>
              <w:top w:val="single" w:sz="4" w:space="0" w:color="000000"/>
              <w:bottom w:val="single" w:sz="4" w:space="0" w:color="000000"/>
            </w:tcBorders>
            <w:vAlign w:val="center"/>
          </w:tcPr>
          <w:p>
            <w:pPr>
              <w:pStyle w:val="Normal"/>
              <w:widowControl w:val="false"/>
              <w:spacing w:before="0" w:after="60"/>
              <w:rPr>
                <w:color w:val="000000"/>
                <w:lang w:val="en-GB" w:eastAsia="en-GB"/>
              </w:rPr>
            </w:pPr>
            <w:r>
              <w:rPr>
                <w:color w:val="000000"/>
                <w:lang w:val="en-GB" w:eastAsia="en-GB"/>
              </w:rPr>
            </w:r>
          </w:p>
        </w:tc>
        <w:tc>
          <w:tcPr>
            <w:tcW w:w="1119" w:type="dxa"/>
            <w:vMerge w:val="continue"/>
            <w:tcBorders>
              <w:top w:val="single" w:sz="4" w:space="0" w:color="000000"/>
              <w:bottom w:val="single" w:sz="4" w:space="0" w:color="000000"/>
            </w:tcBorders>
            <w:vAlign w:val="center"/>
          </w:tcPr>
          <w:p>
            <w:pPr>
              <w:pStyle w:val="Normal"/>
              <w:widowControl w:val="false"/>
              <w:spacing w:before="0" w:after="60"/>
              <w:rPr>
                <w:rFonts w:ascii="Calibri" w:hAnsi="Calibri" w:cs="Calibri"/>
                <w:color w:val="000000"/>
                <w:sz w:val="22"/>
                <w:szCs w:val="22"/>
                <w:lang w:val="en-GB" w:eastAsia="en-GB"/>
              </w:rPr>
            </w:pPr>
            <w:r>
              <w:rPr>
                <w:rFonts w:cs="Calibri" w:ascii="Calibri" w:hAnsi="Calibri"/>
                <w:color w:val="000000"/>
                <w:sz w:val="22"/>
                <w:szCs w:val="22"/>
                <w:lang w:val="en-GB" w:eastAsia="en-GB"/>
              </w:rPr>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Mg</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Ca</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Sr</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Ba</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PERQ1</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2534.7</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2544.4</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6.6</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35.3</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2446.0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2100.0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5.9</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20.9</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2643.0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2912.0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7.6</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48.3</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PERQ2</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919.7</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4878.1</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16.3</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46.4</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818.0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4179.0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13.8</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31.4</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1102.0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5218.0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18.3</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64.2</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PERQ3</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2446.9</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5514.9</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15.7</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101.7</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1999.0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3750.0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12.9</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87.9</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2786.0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6449.0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17.8</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118.9</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PERQ4</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5964.7</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4717.9</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26.3</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214.9</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3791.0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3756.0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20.7</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201.5</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7303.0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5541.0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31.8</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237.6</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PERQ5</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462.4</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2032.6</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6.6</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41.5</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313.0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1752.0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4.7</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23.2</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634.0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2317.0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9.5</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74.3</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PERQ6</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1037.0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6692.8</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59.7</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350.4</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961.0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5637.0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49.0</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284.3</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1105.0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7088.0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63.7</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384.2</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PERQ7</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1294.4</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2818.3</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17.8</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157.6</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1175.0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2457.0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15.1</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140.8</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1446.0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3144.0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19.5</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187.2</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PERQ8</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3239.5</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4957.5</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32.6</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194.6</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2694.0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3810.0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23.2</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154.1</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3533.0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6109.0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43.1</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237.7</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PERQ9</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5982.5</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4478.9</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83.9</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1764.4</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5735.0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3728.0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68.7</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1244.0</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6469.0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4933.0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94.7</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2042.0</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PERQ10</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2538.3</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8310.5</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85.5</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517.4</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2218.0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6769.0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68.8</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438.7</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3915.0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12030.0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107.0</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565.2</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PERQ11</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2319.2</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8067.0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86.4</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525.9</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2186.0</w:t>
            </w:r>
          </w:p>
        </w:tc>
        <w:tc>
          <w:tcPr>
            <w:tcW w:w="1379"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6953.0</w:t>
            </w:r>
          </w:p>
        </w:tc>
        <w:tc>
          <w:tcPr>
            <w:tcW w:w="971"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72.0</w:t>
            </w:r>
          </w:p>
        </w:tc>
        <w:tc>
          <w:tcPr>
            <w:tcW w:w="1646" w:type="dxa"/>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407.5</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2535.0</w:t>
            </w:r>
          </w:p>
        </w:tc>
        <w:tc>
          <w:tcPr>
            <w:tcW w:w="1379"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8555.0</w:t>
            </w:r>
          </w:p>
        </w:tc>
        <w:tc>
          <w:tcPr>
            <w:tcW w:w="971"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91.2</w:t>
            </w:r>
          </w:p>
        </w:tc>
        <w:tc>
          <w:tcPr>
            <w:tcW w:w="1646" w:type="dxa"/>
            <w:tcBorders>
              <w:bottom w:val="single" w:sz="4" w:space="0" w:color="000000"/>
            </w:tcBorders>
            <w:shd w:color="auto" w:fill="auto" w:val="clear"/>
            <w:vAlign w:val="center"/>
          </w:tcPr>
          <w:p>
            <w:pPr>
              <w:pStyle w:val="Normal"/>
              <w:widowControl w:val="false"/>
              <w:spacing w:before="0" w:after="60"/>
              <w:jc w:val="center"/>
              <w:rPr>
                <w:color w:val="000000"/>
                <w:lang w:val="en-GB" w:eastAsia="en-GB"/>
              </w:rPr>
            </w:pPr>
            <w:r>
              <w:rPr>
                <w:color w:val="000000"/>
                <w:lang w:val="en-GB" w:eastAsia="en-GB"/>
              </w:rPr>
              <w:t>577.9</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PERQ12</w:t>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Average</w:t>
            </w:r>
          </w:p>
        </w:tc>
        <w:tc>
          <w:tcPr>
            <w:tcW w:w="1176" w:type="dxa"/>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7224.1</w:t>
            </w:r>
          </w:p>
        </w:tc>
        <w:tc>
          <w:tcPr>
            <w:tcW w:w="1379" w:type="dxa"/>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5375.2</w:t>
            </w:r>
          </w:p>
        </w:tc>
        <w:tc>
          <w:tcPr>
            <w:tcW w:w="971" w:type="dxa"/>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100.5</w:t>
            </w:r>
          </w:p>
        </w:tc>
        <w:tc>
          <w:tcPr>
            <w:tcW w:w="1646" w:type="dxa"/>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1490.9</w:t>
            </w:r>
          </w:p>
        </w:tc>
      </w:tr>
      <w:tr>
        <w:trPr>
          <w:trHeight w:val="315" w:hRule="atLeast"/>
        </w:trPr>
        <w:tc>
          <w:tcPr>
            <w:tcW w:w="1520"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r>
          </w:p>
        </w:tc>
        <w:tc>
          <w:tcPr>
            <w:tcW w:w="1119" w:type="dxa"/>
            <w:tcBorders/>
            <w:shd w:color="auto" w:fill="auto" w:val="clear"/>
            <w:vAlign w:val="bottom"/>
          </w:tcPr>
          <w:p>
            <w:pPr>
              <w:pStyle w:val="Normal"/>
              <w:widowControl w:val="false"/>
              <w:spacing w:before="0" w:after="60"/>
              <w:rPr>
                <w:color w:val="000000"/>
                <w:lang w:val="en-GB" w:eastAsia="en-GB"/>
              </w:rPr>
            </w:pPr>
            <w:r>
              <w:rPr>
                <w:color w:val="000000"/>
                <w:lang w:val="en-GB" w:eastAsia="en-GB"/>
              </w:rPr>
              <w:t>Min</w:t>
            </w:r>
          </w:p>
        </w:tc>
        <w:tc>
          <w:tcPr>
            <w:tcW w:w="1176" w:type="dxa"/>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6705.0</w:t>
            </w:r>
          </w:p>
        </w:tc>
        <w:tc>
          <w:tcPr>
            <w:tcW w:w="1379" w:type="dxa"/>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4529.0</w:t>
            </w:r>
          </w:p>
        </w:tc>
        <w:tc>
          <w:tcPr>
            <w:tcW w:w="971" w:type="dxa"/>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80.5</w:t>
            </w:r>
          </w:p>
        </w:tc>
        <w:tc>
          <w:tcPr>
            <w:tcW w:w="1646" w:type="dxa"/>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1050.0</w:t>
            </w:r>
          </w:p>
        </w:tc>
      </w:tr>
      <w:tr>
        <w:trPr>
          <w:trHeight w:val="315" w:hRule="atLeast"/>
        </w:trPr>
        <w:tc>
          <w:tcPr>
            <w:tcW w:w="1520"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r>
          </w:p>
        </w:tc>
        <w:tc>
          <w:tcPr>
            <w:tcW w:w="1119" w:type="dxa"/>
            <w:tcBorders>
              <w:bottom w:val="single" w:sz="4" w:space="0" w:color="000000"/>
            </w:tcBorders>
            <w:shd w:color="auto" w:fill="auto" w:val="clear"/>
            <w:vAlign w:val="bottom"/>
          </w:tcPr>
          <w:p>
            <w:pPr>
              <w:pStyle w:val="Normal"/>
              <w:widowControl w:val="false"/>
              <w:spacing w:before="0" w:after="60"/>
              <w:rPr>
                <w:color w:val="000000"/>
                <w:lang w:val="en-GB" w:eastAsia="en-GB"/>
              </w:rPr>
            </w:pPr>
            <w:r>
              <w:rPr>
                <w:color w:val="000000"/>
                <w:lang w:val="en-GB" w:eastAsia="en-GB"/>
              </w:rPr>
              <w:t>Max</w:t>
            </w:r>
          </w:p>
        </w:tc>
        <w:tc>
          <w:tcPr>
            <w:tcW w:w="1176" w:type="dxa"/>
            <w:tcBorders>
              <w:bottom w:val="single" w:sz="4" w:space="0" w:color="000000"/>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8044.0</w:t>
            </w:r>
          </w:p>
        </w:tc>
        <w:tc>
          <w:tcPr>
            <w:tcW w:w="1379" w:type="dxa"/>
            <w:tcBorders>
              <w:bottom w:val="single" w:sz="4" w:space="0" w:color="000000"/>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5890.0</w:t>
            </w:r>
          </w:p>
        </w:tc>
        <w:tc>
          <w:tcPr>
            <w:tcW w:w="971" w:type="dxa"/>
            <w:tcBorders>
              <w:bottom w:val="single" w:sz="4" w:space="0" w:color="000000"/>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109.3</w:t>
            </w:r>
          </w:p>
        </w:tc>
        <w:tc>
          <w:tcPr>
            <w:tcW w:w="1646" w:type="dxa"/>
            <w:tcBorders>
              <w:bottom w:val="single" w:sz="4" w:space="0" w:color="000000"/>
            </w:tcBorders>
            <w:shd w:color="auto" w:fill="auto" w:val="clear"/>
            <w:vAlign w:val="bottom"/>
          </w:tcPr>
          <w:p>
            <w:pPr>
              <w:pStyle w:val="Normal"/>
              <w:widowControl w:val="false"/>
              <w:spacing w:before="0" w:after="60"/>
              <w:jc w:val="center"/>
              <w:rPr>
                <w:color w:val="000000"/>
                <w:lang w:val="en-GB" w:eastAsia="en-GB"/>
              </w:rPr>
            </w:pPr>
            <w:r>
              <w:rPr>
                <w:color w:val="000000"/>
                <w:lang w:val="en-GB" w:eastAsia="en-GB"/>
              </w:rPr>
              <w:t>1701.0</w:t>
            </w:r>
          </w:p>
        </w:tc>
      </w:tr>
    </w:tbl>
    <w:p>
      <w:pPr>
        <w:pStyle w:val="Normal"/>
        <w:rPr/>
      </w:pPr>
      <w:r>
        <w:rPr/>
      </w:r>
    </w:p>
    <w:p>
      <w:pPr>
        <w:pStyle w:val="Default"/>
        <w:spacing w:lineRule="auto" w:line="480"/>
        <w:jc w:val="both"/>
        <w:rPr>
          <w:b/>
          <w:b/>
          <w:lang w:val="en-US"/>
        </w:rPr>
      </w:pPr>
      <w:r>
        <w:rPr>
          <w:b/>
          <w:lang w:val="en-US"/>
        </w:rPr>
      </w:r>
    </w:p>
    <w:p>
      <w:pPr>
        <w:pStyle w:val="Normal"/>
        <w:spacing w:lineRule="auto" w:line="480"/>
        <w:jc w:val="both"/>
        <w:rPr>
          <w:lang w:val="en-GB"/>
        </w:rPr>
      </w:pPr>
      <w:r>
        <w:rPr>
          <w:shd w:fill="FFFFFF" w:val="clear"/>
          <w:lang w:val="en-GB"/>
        </w:rPr>
        <w:t xml:space="preserve">   </w:t>
      </w:r>
      <w:r>
        <w:rPr>
          <w:shd w:fill="FFFFFF" w:val="clear"/>
          <w:lang w:val="en-GB"/>
        </w:rPr>
        <w:t xml:space="preserve">The Sr concentrations in the perlite samples varied from 5 </w:t>
      </w:r>
      <w:r>
        <w:rPr>
          <w:bCs/>
          <w:color w:val="000000"/>
        </w:rPr>
        <w:t xml:space="preserve">(perlite sample from PERQ5) </w:t>
      </w:r>
      <w:r>
        <w:rPr>
          <w:shd w:fill="FFFFFF" w:val="clear"/>
          <w:lang w:val="en-GB"/>
        </w:rPr>
        <w:t xml:space="preserve">to 109 mg/kg </w:t>
      </w:r>
      <w:r>
        <w:rPr>
          <w:bCs/>
          <w:color w:val="000000"/>
        </w:rPr>
        <w:t xml:space="preserve">(perlite sample from PERQ12) </w:t>
      </w:r>
      <w:r>
        <w:rPr>
          <w:lang w:val="en-GB"/>
        </w:rPr>
        <w:t>with an average value of 50 </w:t>
      </w:r>
      <w:r>
        <w:rPr>
          <w:shd w:fill="FFFFFF" w:val="clear"/>
          <w:lang w:val="en-GB"/>
        </w:rPr>
        <w:t>mg/kg, which is</w:t>
      </w:r>
      <w:r>
        <w:rPr>
          <w:lang w:val="en-GB"/>
        </w:rPr>
        <w:t xml:space="preserve"> lower than the </w:t>
      </w:r>
      <w:r>
        <w:rPr>
          <w:bCs/>
          <w:color w:val="000000"/>
        </w:rPr>
        <w:t xml:space="preserve">Earth's continental crust average </w:t>
      </w:r>
      <w:r>
        <w:rPr>
          <w:lang w:val="en-GB"/>
        </w:rPr>
        <w:t>of 340 </w:t>
      </w:r>
      <w:r>
        <w:rPr>
          <w:shd w:fill="FFFFFF" w:val="clear"/>
          <w:lang w:val="en-GB"/>
        </w:rPr>
        <w:t xml:space="preserve">mg/kg </w:t>
      </w:r>
      <w:r>
        <w:rPr/>
        <w:t>(</w:t>
      </w:r>
      <w:r>
        <w:rPr>
          <w:shd w:fill="FFFFFF" w:val="clear"/>
        </w:rPr>
        <w:t>Yaroshevsky</w:t>
      </w:r>
      <w:r>
        <w:rPr/>
        <w:t xml:space="preserve"> 2006)</w:t>
      </w:r>
      <w:r>
        <w:rPr>
          <w:lang w:val="en-GB"/>
        </w:rPr>
        <w:t>.</w:t>
      </w:r>
      <w:r>
        <w:rPr>
          <w:color w:val="000000"/>
          <w:lang w:val="en-GB"/>
        </w:rPr>
        <w:t xml:space="preserve"> </w:t>
      </w:r>
      <w:r>
        <w:rPr>
          <w:bCs/>
          <w:color w:val="000000"/>
        </w:rPr>
        <w:t>T</w:t>
      </w:r>
      <w:r>
        <w:rPr/>
        <w:t>he highest Sr</w:t>
      </w:r>
      <w:r>
        <w:rPr>
          <w:bCs/>
          <w:color w:val="000000"/>
        </w:rPr>
        <w:t xml:space="preserve"> concentration</w:t>
      </w:r>
      <w:r>
        <w:rPr/>
        <w:t xml:space="preserve"> was analyzed in the PERQ12. The average Sr</w:t>
      </w:r>
      <w:r>
        <w:rPr>
          <w:bCs/>
          <w:color w:val="000000"/>
        </w:rPr>
        <w:t xml:space="preserve"> concentrations</w:t>
      </w:r>
      <w:r>
        <w:rPr/>
        <w:t xml:space="preserve"> in perlite quarries are summarized </w:t>
      </w:r>
      <w:r>
        <w:rPr>
          <w:lang w:val="en-GB"/>
        </w:rPr>
        <w:t>in descending order as follows: PERQ12 &gt; PERQ11 &gt; PERQ10 &gt; PERQ9 &gt; PERQ6 &gt; PERQ8 &gt; PERQ4 &gt; PERQ7 &gt; PERQ2 &gt; PERQ3 &gt; PERQ1 &gt; PERQ5.</w:t>
      </w:r>
    </w:p>
    <w:p>
      <w:pPr>
        <w:pStyle w:val="Normal"/>
        <w:spacing w:lineRule="auto" w:line="480"/>
        <w:jc w:val="both"/>
        <w:rPr>
          <w:lang w:val="en-GB"/>
        </w:rPr>
      </w:pPr>
      <w:r>
        <w:rPr>
          <w:shd w:fill="FFFFFF" w:val="clear"/>
          <w:lang w:val="en-GB"/>
        </w:rPr>
        <w:t xml:space="preserve">   </w:t>
      </w:r>
      <w:r>
        <w:rPr>
          <w:shd w:fill="FFFFFF" w:val="clear"/>
          <w:lang w:val="en-GB"/>
        </w:rPr>
        <w:t xml:space="preserve">The Ba concentrations in the perlite samples varied from 21 </w:t>
      </w:r>
      <w:r>
        <w:rPr>
          <w:bCs/>
          <w:color w:val="000000"/>
        </w:rPr>
        <w:t xml:space="preserve">(perlite sample from PERQ1) </w:t>
      </w:r>
      <w:r>
        <w:rPr>
          <w:shd w:fill="FFFFFF" w:val="clear"/>
          <w:lang w:val="en-GB"/>
        </w:rPr>
        <w:t xml:space="preserve">to 2042 mg/kg </w:t>
      </w:r>
      <w:r>
        <w:rPr>
          <w:bCs/>
          <w:color w:val="000000"/>
        </w:rPr>
        <w:t xml:space="preserve">(perlite sample from PERQ9) </w:t>
      </w:r>
      <w:r>
        <w:rPr>
          <w:lang w:val="en-GB"/>
        </w:rPr>
        <w:t>with an average value of 569 </w:t>
      </w:r>
      <w:r>
        <w:rPr>
          <w:shd w:fill="FFFFFF" w:val="clear"/>
          <w:lang w:val="en-GB"/>
        </w:rPr>
        <w:t>mg/kg, which is</w:t>
      </w:r>
      <w:r>
        <w:rPr>
          <w:lang w:val="en-GB"/>
        </w:rPr>
        <w:t xml:space="preserve"> lower than the </w:t>
      </w:r>
      <w:r>
        <w:rPr>
          <w:bCs/>
          <w:color w:val="000000"/>
        </w:rPr>
        <w:t xml:space="preserve">Earth's continental crust average </w:t>
      </w:r>
      <w:r>
        <w:rPr>
          <w:lang w:val="en-GB"/>
        </w:rPr>
        <w:t>of 650 </w:t>
      </w:r>
      <w:r>
        <w:rPr>
          <w:shd w:fill="FFFFFF" w:val="clear"/>
          <w:lang w:val="en-GB"/>
        </w:rPr>
        <w:t xml:space="preserve">mg/kg </w:t>
      </w:r>
      <w:r>
        <w:rPr/>
        <w:t>(</w:t>
      </w:r>
      <w:r>
        <w:rPr>
          <w:shd w:fill="FFFFFF" w:val="clear"/>
        </w:rPr>
        <w:t>Yaroshevsky</w:t>
      </w:r>
      <w:r>
        <w:rPr/>
        <w:t xml:space="preserve"> 2006)</w:t>
      </w:r>
      <w:r>
        <w:rPr>
          <w:lang w:val="en-GB"/>
        </w:rPr>
        <w:t>.</w:t>
      </w:r>
      <w:r>
        <w:rPr>
          <w:color w:val="000000"/>
          <w:lang w:val="en-GB"/>
        </w:rPr>
        <w:t xml:space="preserve"> </w:t>
      </w:r>
      <w:r>
        <w:rPr>
          <w:bCs/>
          <w:color w:val="000000"/>
        </w:rPr>
        <w:t>T</w:t>
      </w:r>
      <w:r>
        <w:rPr/>
        <w:t>he highest Ba</w:t>
      </w:r>
      <w:r>
        <w:rPr>
          <w:bCs/>
          <w:color w:val="000000"/>
        </w:rPr>
        <w:t xml:space="preserve"> concentration</w:t>
      </w:r>
      <w:r>
        <w:rPr/>
        <w:t xml:space="preserve"> was analyzed in the PERQ9. The average Ba</w:t>
      </w:r>
      <w:r>
        <w:rPr>
          <w:bCs/>
          <w:color w:val="000000"/>
        </w:rPr>
        <w:t xml:space="preserve"> concentrations</w:t>
      </w:r>
      <w:r>
        <w:rPr/>
        <w:t xml:space="preserve"> in perlite quarries are summarized </w:t>
      </w:r>
      <w:r>
        <w:rPr>
          <w:lang w:val="en-GB"/>
        </w:rPr>
        <w:t>in descending order as follows: PERQ9 &gt; PERQ12 &gt; PERQ11 &gt; PERQ10 &gt; PERQ6 &gt; PERQ4 &gt; PERQ8 &gt; PERQ7 &gt; PERQ3 &gt; PERQ2 &gt; PERQ5 &gt; PERQ1.</w:t>
      </w:r>
    </w:p>
    <w:p>
      <w:pPr>
        <w:pStyle w:val="Normal"/>
        <w:spacing w:lineRule="auto" w:line="480"/>
        <w:jc w:val="both"/>
        <w:rPr>
          <w:b/>
          <w:b/>
          <w:lang w:val="en-GB"/>
        </w:rPr>
      </w:pPr>
      <w:r>
        <w:rPr>
          <w:b/>
          <w:lang w:val="en-GB"/>
        </w:rPr>
        <w:t xml:space="preserve">CONCLUSIONS </w:t>
      </w:r>
    </w:p>
    <w:p>
      <w:pPr>
        <w:pStyle w:val="Default"/>
        <w:spacing w:lineRule="auto" w:line="480"/>
        <w:jc w:val="both"/>
        <w:rPr/>
      </w:pPr>
      <w:r>
        <w:rPr>
          <w:color w:val="auto"/>
        </w:rPr>
        <w:t>The study is the first detailed research on the determination of oxides and alkaline earth metals in perlite samples obtained from 12 perlite quarries located in different provinces of Türkiye. The results of this study provide guiding information for the more effective and efficient use of perlite minerals in different sectors.</w:t>
      </w:r>
    </w:p>
    <w:p>
      <w:pPr>
        <w:pStyle w:val="Default"/>
        <w:spacing w:lineRule="auto" w:line="480"/>
        <w:jc w:val="both"/>
        <w:rPr>
          <w:b/>
          <w:b/>
          <w:lang w:val="en-US"/>
        </w:rPr>
      </w:pPr>
      <w:r>
        <w:rPr>
          <w:b/>
          <w:lang w:val="en-US"/>
        </w:rPr>
        <w:t>REFERENCES</w:t>
      </w:r>
    </w:p>
    <w:p>
      <w:pPr>
        <w:pStyle w:val="Default"/>
        <w:spacing w:lineRule="auto" w:line="480"/>
        <w:jc w:val="both"/>
        <w:rPr/>
      </w:pPr>
      <w:r>
        <w:rPr/>
        <w:t xml:space="preserve">Altıkulaç, A., Turhan, Ş., Kurnaz, A., Gören, E., Duran, C., Hançerlioğulları, A., Uğur, F. A. (2022). Assessment of the enrichment of heavy metals in coal and its combustion residues. ACS Omega 7(24), 21239–21245. </w:t>
      </w:r>
    </w:p>
    <w:p>
      <w:pPr>
        <w:pStyle w:val="Default"/>
        <w:spacing w:lineRule="auto" w:line="480"/>
        <w:jc w:val="both"/>
        <w:rPr>
          <w:lang w:val="tr-TR"/>
        </w:rPr>
      </w:pPr>
      <w:r>
        <w:rPr>
          <w:lang w:val="tr-TR"/>
        </w:rPr>
        <w:t>DPT (Devlet Planlama Teşkilatı). (2001), Madencilik Özel İhtisas Komisyonu Raporu Endüstriyel Hammaddeler Alt Komisyonu Yapı Malzemeleri III (Pomza-Perlit-Vermikülit-Flogopit-Genleşen Killer) Çalışma Grubu Raporu. DPT: 2617 - ÖİK: 628. Ankara.</w:t>
      </w:r>
    </w:p>
    <w:p>
      <w:pPr>
        <w:pStyle w:val="Default"/>
        <w:spacing w:lineRule="auto" w:line="480"/>
        <w:jc w:val="both"/>
        <w:rPr/>
      </w:pPr>
      <w:r>
        <w:rPr/>
        <w:t xml:space="preserve">Turhan Ş, Garad, AMK, Hançerlioğulları A, Kurnaz A, Gören E, Duran C, Karataşlı M, Altıkulaç A, Savacı G, Aydın A. (2020). Ecological assessment of heavy metals in soil around a coal-fired thermal power plant in Turkey. Environmental Earth Sciences 79(6), 1–15. </w:t>
      </w:r>
    </w:p>
    <w:p>
      <w:pPr>
        <w:pStyle w:val="Default"/>
        <w:spacing w:lineRule="auto" w:line="480"/>
        <w:jc w:val="both"/>
        <w:rPr>
          <w:b/>
          <w:b/>
          <w:bCs/>
        </w:rPr>
      </w:pPr>
      <w:r>
        <w:rPr>
          <w:lang w:val="de-DE"/>
        </w:rPr>
        <w:t xml:space="preserve">Turhan Ş, Tokat S, Kurnaz A, Altıkulaç A. (2022). </w:t>
      </w:r>
      <w:r>
        <w:rPr/>
        <w:t>Distribution of elemental compositions of zeolite quarries and calculation of radiogenic heat generation. International Journal of Environmental Analytical Chemistry 109(19), 7851–7862.</w:t>
      </w:r>
    </w:p>
    <w:p>
      <w:pPr>
        <w:pStyle w:val="Normal"/>
        <w:spacing w:lineRule="auto" w:line="480"/>
        <w:jc w:val="both"/>
        <w:rPr>
          <w:rFonts w:eastAsia="Calibri" w:eastAsiaTheme="minorHAnsi"/>
          <w:color w:val="000000"/>
          <w:lang w:eastAsia="en-US"/>
        </w:rPr>
      </w:pPr>
      <w:r>
        <w:rPr>
          <w:rFonts w:eastAsia="Calibri" w:eastAsiaTheme="minorHAnsi"/>
          <w:color w:val="000000"/>
          <w:lang w:eastAsia="en-US"/>
        </w:rPr>
        <w:t>Reka AA, Pavlovski B, Lisichkov K, Jashari A, Boev B, Boev I, Lazarova M, Eskizeybek V, Oral A, Jovanovski G, Makreski P. 2019. Chemical, mineralogical and structural features of native and expanded perlite from Macedonia Geologia Croatica 72(3), 215-221.</w:t>
      </w:r>
    </w:p>
    <w:p>
      <w:pPr>
        <w:pStyle w:val="Normal"/>
        <w:spacing w:lineRule="auto" w:line="480"/>
        <w:jc w:val="both"/>
        <w:rPr>
          <w:rFonts w:eastAsia="Calibri" w:eastAsiaTheme="minorHAnsi"/>
          <w:color w:val="000000"/>
          <w:lang w:eastAsia="en-US"/>
        </w:rPr>
      </w:pPr>
      <w:r>
        <w:rPr>
          <w:rFonts w:eastAsia="Calibri" w:eastAsiaTheme="minorHAnsi"/>
          <w:color w:val="000000"/>
          <w:lang w:eastAsia="en-US"/>
        </w:rPr>
        <w:t xml:space="preserve">Yaroshevsky AA. (2006). Abundances of chemical elements in the Earth’s crust. Geochemistry International 44(1), 48–55. </w:t>
      </w:r>
    </w:p>
    <w:p>
      <w:pPr>
        <w:pStyle w:val="Normal"/>
        <w:spacing w:lineRule="auto" w:line="480"/>
        <w:jc w:val="both"/>
        <w:rPr>
          <w:rFonts w:eastAsia="Calibri" w:eastAsiaTheme="minorHAnsi"/>
          <w:color w:val="000000"/>
          <w:lang w:eastAsia="en-US"/>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e686b"/>
    <w:pPr>
      <w:widowControl/>
      <w:bidi w:val="0"/>
      <w:spacing w:lineRule="auto" w:line="240" w:before="0" w:after="0"/>
      <w:jc w:val="left"/>
    </w:pPr>
    <w:rPr>
      <w:rFonts w:ascii="Times New Roman" w:hAnsi="Times New Roman" w:eastAsia="Times New Roman" w:cs="Times New Roman"/>
      <w:color w:val="auto"/>
      <w:kern w:val="0"/>
      <w:sz w:val="24"/>
      <w:szCs w:val="24"/>
      <w:lang w:val="en-US" w:eastAsia="tr-TR" w:bidi="ar-SA"/>
    </w:rPr>
  </w:style>
  <w:style w:type="paragraph" w:styleId="Heading1">
    <w:name w:val="Heading 1"/>
    <w:basedOn w:val="Normal"/>
    <w:next w:val="Normal"/>
    <w:link w:val="Balk1Char"/>
    <w:uiPriority w:val="9"/>
    <w:qFormat/>
    <w:rsid w:val="0028597f"/>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Balk2Char"/>
    <w:qFormat/>
    <w:rsid w:val="004d28cd"/>
    <w:pPr>
      <w:keepNext w:val="true"/>
      <w:jc w:val="center"/>
      <w:outlineLvl w:val="1"/>
    </w:pPr>
    <w:rPr>
      <w:b/>
      <w:bCs/>
    </w:rPr>
  </w:style>
  <w:style w:type="character" w:styleId="DefaultParagraphFont" w:default="1">
    <w:name w:val="Default Paragraph Font"/>
    <w:uiPriority w:val="1"/>
    <w:semiHidden/>
    <w:unhideWhenUsed/>
    <w:qFormat/>
    <w:rPr/>
  </w:style>
  <w:style w:type="character" w:styleId="Balk2Char" w:customStyle="1">
    <w:name w:val="Başlık 2 Char"/>
    <w:basedOn w:val="DefaultParagraphFont"/>
    <w:link w:val="Heading2"/>
    <w:qFormat/>
    <w:rsid w:val="004d28cd"/>
    <w:rPr>
      <w:rFonts w:ascii="Times New Roman" w:hAnsi="Times New Roman" w:eastAsia="Times New Roman" w:cs="Times New Roman"/>
      <w:b/>
      <w:bCs/>
      <w:sz w:val="24"/>
      <w:szCs w:val="24"/>
      <w:lang w:val="en-US" w:eastAsia="tr-TR"/>
    </w:rPr>
  </w:style>
  <w:style w:type="character" w:styleId="Balk1Char" w:customStyle="1">
    <w:name w:val="Başlık 1 Char"/>
    <w:basedOn w:val="DefaultParagraphFont"/>
    <w:link w:val="Heading1"/>
    <w:uiPriority w:val="9"/>
    <w:qFormat/>
    <w:rsid w:val="0028597f"/>
    <w:rPr>
      <w:rFonts w:ascii="Cambria" w:hAnsi="Cambria" w:eastAsia="" w:cs="" w:asciiTheme="majorHAnsi" w:cstheme="majorBidi" w:eastAsiaTheme="majorEastAsia" w:hAnsiTheme="majorHAnsi"/>
      <w:color w:val="365F91" w:themeColor="accent1" w:themeShade="bf"/>
      <w:sz w:val="32"/>
      <w:szCs w:val="32"/>
      <w:lang w:val="en-US" w:eastAsia="tr-TR"/>
    </w:rPr>
  </w:style>
  <w:style w:type="character" w:styleId="BalonMetniChar" w:customStyle="1">
    <w:name w:val="Balon Metni Char"/>
    <w:basedOn w:val="DefaultParagraphFont"/>
    <w:link w:val="BalloonText"/>
    <w:uiPriority w:val="99"/>
    <w:semiHidden/>
    <w:qFormat/>
    <w:rsid w:val="008012d8"/>
    <w:rPr>
      <w:rFonts w:ascii="Tahoma" w:hAnsi="Tahoma" w:eastAsia="Times New Roman" w:cs="Tahoma"/>
      <w:sz w:val="16"/>
      <w:szCs w:val="16"/>
      <w:lang w:val="en-US" w:eastAsia="tr-T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 w:customStyle="1">
    <w:name w:val="Default"/>
    <w:qFormat/>
    <w:rsid w:val="008548ac"/>
    <w:pPr>
      <w:widowControl/>
      <w:bidi w:val="0"/>
      <w:spacing w:lineRule="auto" w:line="240" w:before="0" w:after="0"/>
      <w:jc w:val="left"/>
    </w:pPr>
    <w:rPr>
      <w:rFonts w:ascii="Times New Roman" w:hAnsi="Times New Roman" w:cs="Times New Roman" w:eastAsia="Calibri"/>
      <w:color w:val="000000"/>
      <w:kern w:val="0"/>
      <w:sz w:val="24"/>
      <w:szCs w:val="24"/>
      <w:lang w:val="en-GB" w:eastAsia="en-US" w:bidi="ar-SA"/>
    </w:rPr>
  </w:style>
  <w:style w:type="paragraph" w:styleId="ListParagraph">
    <w:name w:val="List Paragraph"/>
    <w:basedOn w:val="Normal"/>
    <w:uiPriority w:val="34"/>
    <w:qFormat/>
    <w:rsid w:val="008b756f"/>
    <w:pPr>
      <w:spacing w:before="0" w:after="0"/>
      <w:ind w:left="720" w:hanging="0"/>
      <w:contextualSpacing/>
    </w:pPr>
    <w:rPr/>
  </w:style>
  <w:style w:type="paragraph" w:styleId="BalloonText">
    <w:name w:val="Balloon Text"/>
    <w:basedOn w:val="Normal"/>
    <w:link w:val="BalonMetniChar"/>
    <w:uiPriority w:val="99"/>
    <w:semiHidden/>
    <w:unhideWhenUsed/>
    <w:qFormat/>
    <w:rsid w:val="008012d8"/>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4326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2278</TotalTime>
  <Application>LibreOffice/7.3.7.2$Linux_X86_64 LibreOffice_project/30$Build-2</Application>
  <AppVersion>15.0000</AppVersion>
  <Pages>13</Pages>
  <Words>3445</Words>
  <Characters>18383</Characters>
  <CharactersWithSpaces>21072</CharactersWithSpaces>
  <Paragraphs>824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2024-05-20T15:15:00Z</dcterms:created>
  <dc:creator>Lenovo</dc:creator>
  <dc:description/>
  <dc:language>en-US</dc:language>
  <cp:lastModifiedBy/>
  <dcterms:modified xsi:type="dcterms:W3CDTF">2025-09-20T00:02:11Z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