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DC" w:rsidRPr="004644B3" w:rsidRDefault="00F078DC" w:rsidP="004A695E">
      <w:pPr>
        <w:jc w:val="both"/>
        <w:rPr>
          <w:b/>
          <w:bCs/>
          <w:sz w:val="28"/>
          <w:szCs w:val="28"/>
        </w:rPr>
      </w:pPr>
      <w:r w:rsidRPr="004644B3">
        <w:rPr>
          <w:b/>
          <w:bCs/>
          <w:sz w:val="28"/>
          <w:szCs w:val="28"/>
        </w:rPr>
        <w:t>Modeling</w:t>
      </w:r>
      <w:r w:rsidR="00974174">
        <w:rPr>
          <w:b/>
          <w:bCs/>
          <w:sz w:val="28"/>
          <w:szCs w:val="28"/>
        </w:rPr>
        <w:t xml:space="preserve"> of</w:t>
      </w:r>
      <w:r w:rsidRPr="004644B3">
        <w:rPr>
          <w:b/>
          <w:bCs/>
          <w:sz w:val="28"/>
          <w:szCs w:val="28"/>
        </w:rPr>
        <w:t xml:space="preserve"> disaster death tolls with Benford’s Law </w:t>
      </w:r>
    </w:p>
    <w:p w:rsidR="00F078DC" w:rsidRPr="004644B3" w:rsidRDefault="00F078DC" w:rsidP="004A695E">
      <w:pPr>
        <w:jc w:val="both"/>
        <w:rPr>
          <w:szCs w:val="24"/>
        </w:rPr>
      </w:pPr>
      <w:r w:rsidRPr="004644B3">
        <w:rPr>
          <w:b/>
          <w:bCs/>
          <w:szCs w:val="24"/>
        </w:rPr>
        <w:t>Abstract</w:t>
      </w:r>
      <w:r w:rsidRPr="004644B3">
        <w:rPr>
          <w:szCs w:val="24"/>
        </w:rPr>
        <w:t>: In 1938, physicist Frank Benford showed that among many naturally occurring collections of numbers, the leading significant digit</w:t>
      </w:r>
      <w:r w:rsidR="00755BCE">
        <w:rPr>
          <w:szCs w:val="24"/>
        </w:rPr>
        <w:t xml:space="preserve"> </w:t>
      </w:r>
      <w:r w:rsidRPr="004644B3">
        <w:rPr>
          <w:szCs w:val="24"/>
        </w:rPr>
        <w:t>is expected to be small, a pattern which was first indicat</w:t>
      </w:r>
      <w:r w:rsidR="00245086">
        <w:rPr>
          <w:szCs w:val="24"/>
        </w:rPr>
        <w:t xml:space="preserve">ed by astronomer Simon Newcomb and is </w:t>
      </w:r>
      <w:r w:rsidRPr="004644B3">
        <w:rPr>
          <w:szCs w:val="24"/>
        </w:rPr>
        <w:t>now known as Benford</w:t>
      </w:r>
      <w:r w:rsidR="00957C6E">
        <w:rPr>
          <w:szCs w:val="24"/>
        </w:rPr>
        <w:t>'s law or Newcomb-Benford's law. According to the law,</w:t>
      </w:r>
      <w:r w:rsidRPr="004644B3">
        <w:rPr>
          <w:szCs w:val="24"/>
        </w:rPr>
        <w:t xml:space="preserve"> in a set where the law fits, most numbers begin with digit 1, accounting for over 30% of total numbers, and the frequency of numbers starting with later digits falls almost exponentially. This law has been shown to apply to multitude of natural data sets, including stock and house prices, population numbers, death rates, length of large objects, and mathematical constants, among others. In this paper, the law (for the first digit) has been applied to model the number of deaths due to four different disasters: earthquakes, wars, accidents, and floods, and significant match with the law </w:t>
      </w:r>
      <w:r w:rsidR="00806B82">
        <w:rPr>
          <w:szCs w:val="24"/>
        </w:rPr>
        <w:t>has</w:t>
      </w:r>
      <w:r w:rsidRPr="004644B3">
        <w:rPr>
          <w:szCs w:val="24"/>
        </w:rPr>
        <w:t xml:space="preserve"> been found, which can be applied to analyze, model, and predict disaster death tolls. The compliance was also tested with Pearson's Chi-squared goodness-of-fit test as well with some other testing procedures specific to the law, including </w:t>
      </w:r>
      <w:proofErr w:type="spellStart"/>
      <w:r w:rsidRPr="004644B3">
        <w:rPr>
          <w:szCs w:val="24"/>
        </w:rPr>
        <w:t>Leemis’s</w:t>
      </w:r>
      <w:proofErr w:type="spellEnd"/>
      <w:r w:rsidRPr="004644B3">
        <w:rPr>
          <w:szCs w:val="24"/>
        </w:rPr>
        <w:t xml:space="preserve"> m. </w:t>
      </w:r>
    </w:p>
    <w:p w:rsidR="00F078DC" w:rsidRDefault="00AE181D" w:rsidP="0019456A">
      <w:pPr>
        <w:spacing w:after="120" w:line="240" w:lineRule="auto"/>
        <w:jc w:val="both"/>
        <w:rPr>
          <w:rFonts w:cs="Times New Roman"/>
          <w:i/>
          <w:iCs/>
          <w:szCs w:val="24"/>
        </w:rPr>
      </w:pPr>
      <w:r w:rsidRPr="004644B3">
        <w:rPr>
          <w:szCs w:val="24"/>
        </w:rPr>
        <w:t xml:space="preserve"> </w:t>
      </w:r>
      <w:r w:rsidRPr="004644B3">
        <w:rPr>
          <w:rFonts w:cs="Times New Roman"/>
          <w:b/>
          <w:bCs/>
          <w:szCs w:val="24"/>
        </w:rPr>
        <w:t>Key words:</w:t>
      </w:r>
      <w:r w:rsidRPr="004644B3">
        <w:rPr>
          <w:rFonts w:cs="Times New Roman"/>
          <w:szCs w:val="24"/>
        </w:rPr>
        <w:t xml:space="preserve"> </w:t>
      </w:r>
      <w:r w:rsidRPr="004644B3">
        <w:rPr>
          <w:rFonts w:cs="Times New Roman"/>
          <w:i/>
          <w:iCs/>
          <w:szCs w:val="24"/>
        </w:rPr>
        <w:t xml:space="preserve">First digit law, Benford’s law, probability theory, disaster death tolls, disaster modeling. </w:t>
      </w:r>
    </w:p>
    <w:p w:rsidR="0019456A" w:rsidRPr="0019456A" w:rsidRDefault="0019456A" w:rsidP="0019456A">
      <w:pPr>
        <w:spacing w:after="120" w:line="240" w:lineRule="auto"/>
        <w:jc w:val="both"/>
        <w:rPr>
          <w:rFonts w:cs="Times New Roman"/>
          <w:i/>
          <w:iCs/>
          <w:szCs w:val="24"/>
        </w:rPr>
      </w:pPr>
    </w:p>
    <w:p w:rsidR="00AE181D" w:rsidRPr="002A7E27" w:rsidRDefault="00AE181D" w:rsidP="004A695E">
      <w:pPr>
        <w:pStyle w:val="ListParagraph"/>
        <w:numPr>
          <w:ilvl w:val="0"/>
          <w:numId w:val="2"/>
        </w:numPr>
        <w:spacing w:after="120" w:line="240" w:lineRule="auto"/>
        <w:jc w:val="both"/>
        <w:rPr>
          <w:rFonts w:cs="Times New Roman"/>
          <w:b/>
          <w:bCs/>
          <w:sz w:val="28"/>
          <w:szCs w:val="28"/>
        </w:rPr>
      </w:pPr>
      <w:r w:rsidRPr="002A7E27">
        <w:rPr>
          <w:rFonts w:cs="Times New Roman"/>
          <w:b/>
          <w:bCs/>
          <w:sz w:val="28"/>
          <w:szCs w:val="28"/>
        </w:rPr>
        <w:t>Introduction</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The Benford’s law deals with the first significant digits of numbers. For example, the first significant digits of the numbers 976 and 167 are 9 and 1, respectively. Since a number can start with digits 1, </w:t>
      </w:r>
      <w:proofErr w:type="gramStart"/>
      <w:r w:rsidRPr="004644B3">
        <w:rPr>
          <w:rFonts w:cs="Times New Roman"/>
          <w:szCs w:val="24"/>
        </w:rPr>
        <w:t>2, …</w:t>
      </w:r>
      <w:proofErr w:type="gramEnd"/>
      <w:r w:rsidRPr="004644B3">
        <w:rPr>
          <w:rFonts w:cs="Times New Roman"/>
          <w:szCs w:val="24"/>
        </w:rPr>
        <w:t xml:space="preserve"> up to 9, it </w:t>
      </w:r>
      <w:r w:rsidRPr="004644B3">
        <w:rPr>
          <w:rFonts w:cs="Times New Roman"/>
          <w:szCs w:val="24"/>
        </w:rPr>
        <w:lastRenderedPageBreak/>
        <w:t xml:space="preserve">is natural to assume that the probability of any of the nine numbers being in the first position of a randomly chosen number should be </w:t>
      </w:r>
      <m:oMath>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m:t>
            </m:r>
          </m:den>
        </m:f>
      </m:oMath>
      <w:r w:rsidRPr="004644B3">
        <w:rPr>
          <w:rFonts w:cs="Times New Roman"/>
          <w:szCs w:val="24"/>
        </w:rPr>
        <w:t xml:space="preserve">. However, in many real world data sets, it is seen that the frequencies of numbers starting with each digit (1-9) are </w:t>
      </w:r>
      <w:r w:rsidR="00185243">
        <w:rPr>
          <w:rFonts w:cs="Times New Roman"/>
          <w:szCs w:val="24"/>
        </w:rPr>
        <w:t xml:space="preserve">in strong congruence with </w:t>
      </w:r>
      <w:r w:rsidRPr="004644B3">
        <w:rPr>
          <w:rFonts w:cs="Times New Roman"/>
          <w:szCs w:val="24"/>
        </w:rPr>
        <w:t xml:space="preserve">what is predicted by Benford’s law. </w:t>
      </w:r>
      <w:r w:rsidRPr="004644B3">
        <w:rPr>
          <w:rFonts w:cs="Times New Roman"/>
          <w:szCs w:val="24"/>
          <w:vertAlign w:val="superscript"/>
        </w:rPr>
        <w:t>[1]</w:t>
      </w:r>
      <w:r w:rsidRPr="004644B3">
        <w:rPr>
          <w:rFonts w:cs="Times New Roman"/>
          <w:szCs w:val="24"/>
        </w:rPr>
        <w:t xml:space="preserve"> The anomalous expected frequencies according</w:t>
      </w:r>
      <w:r w:rsidR="0042236E">
        <w:rPr>
          <w:rFonts w:cs="Times New Roman"/>
          <w:szCs w:val="24"/>
        </w:rPr>
        <w:t xml:space="preserve"> to the law are given in table 2</w:t>
      </w:r>
      <w:r w:rsidRPr="004644B3">
        <w:rPr>
          <w:rFonts w:cs="Times New Roman"/>
          <w:szCs w:val="24"/>
        </w:rPr>
        <w:t xml:space="preserve">. </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The law, though popularized by Frank Benford, traces its back to an 1881 work by the mathematician and astronomer Simon Newcomb, who showed that ten digits in the logarithmic table do not occur with equal frequency. </w:t>
      </w:r>
      <w:r w:rsidRPr="004644B3">
        <w:rPr>
          <w:rFonts w:cs="Times New Roman"/>
          <w:szCs w:val="24"/>
          <w:vertAlign w:val="superscript"/>
        </w:rPr>
        <w:t>[3]</w:t>
      </w:r>
      <w:r w:rsidRPr="004644B3">
        <w:rPr>
          <w:rFonts w:cs="Times New Roman"/>
          <w:szCs w:val="24"/>
        </w:rPr>
        <w:t xml:space="preserve"> He concluded that numbers in logarithmic tables obey the pattern, while anti-logarithms do not. He went on to propose a law that the probability of a single number N being the first digit of a number would be equal </w:t>
      </w:r>
      <w:proofErr w:type="gramStart"/>
      <w:r w:rsidRPr="004644B3">
        <w:rPr>
          <w:rFonts w:cs="Times New Roman"/>
          <w:szCs w:val="24"/>
        </w:rPr>
        <w:t xml:space="preserve">to </w:t>
      </w:r>
      <w:proofErr w:type="gramEnd"/>
      <m:oMath>
        <m:func>
          <m:funcPr>
            <m:ctrlPr>
              <w:rPr>
                <w:rFonts w:ascii="Cambria Math" w:hAnsi="Cambria Math" w:cs="Times New Roman"/>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N+1</m:t>
                </m:r>
              </m:e>
            </m:d>
          </m:e>
        </m:func>
        <m:r>
          <w:rPr>
            <w:rFonts w:ascii="Cambria Math" w:hAnsi="Cambria Math" w:cs="Times New Roman"/>
            <w:szCs w:val="24"/>
          </w:rPr>
          <m:t>-</m:t>
        </m:r>
        <m:r>
          <m:rPr>
            <m:sty m:val="p"/>
          </m:rPr>
          <w:rPr>
            <w:rFonts w:ascii="Cambria Math" w:hAnsi="Cambria Math" w:cs="Times New Roman"/>
            <w:szCs w:val="24"/>
          </w:rPr>
          <m:t>log⁡</m:t>
        </m:r>
        <m:r>
          <w:rPr>
            <w:rFonts w:ascii="Cambria Math" w:hAnsi="Cambria Math" w:cs="Times New Roman"/>
            <w:szCs w:val="24"/>
          </w:rPr>
          <m:t>(N)</m:t>
        </m:r>
      </m:oMath>
      <w:r w:rsidRPr="004644B3">
        <w:rPr>
          <w:rFonts w:eastAsiaTheme="minorEastAsia" w:cs="Times New Roman"/>
          <w:szCs w:val="24"/>
        </w:rPr>
        <w:t xml:space="preserve">. </w:t>
      </w:r>
      <w:r w:rsidRPr="004644B3">
        <w:rPr>
          <w:rFonts w:cs="Times New Roman"/>
          <w:szCs w:val="24"/>
        </w:rPr>
        <w:t xml:space="preserve">  </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The law has generated a great number of papers, dealing with matters including theoretical developments, verifying for numbers of bases other than decimal, explanation of the pattern, testing compliance with real-world data, scale invariance, </w:t>
      </w:r>
      <w:r w:rsidRPr="004644B3">
        <w:rPr>
          <w:rFonts w:cs="Times New Roman"/>
          <w:szCs w:val="24"/>
          <w:vertAlign w:val="superscript"/>
        </w:rPr>
        <w:t>[4]</w:t>
      </w:r>
      <w:r w:rsidRPr="004644B3">
        <w:rPr>
          <w:rFonts w:cs="Times New Roman"/>
          <w:szCs w:val="24"/>
        </w:rPr>
        <w:t xml:space="preserve"> applications to various phenomena, including for legal and accounting purposes, price digit analysis, </w:t>
      </w:r>
      <w:r w:rsidRPr="004644B3">
        <w:rPr>
          <w:rFonts w:cs="Times New Roman"/>
          <w:szCs w:val="24"/>
          <w:vertAlign w:val="superscript"/>
        </w:rPr>
        <w:t>[19]</w:t>
      </w:r>
      <w:r w:rsidRPr="004644B3">
        <w:rPr>
          <w:rFonts w:cs="Times New Roman"/>
          <w:szCs w:val="24"/>
        </w:rPr>
        <w:t xml:space="preserve"> detection of fraudulent scientific data, </w:t>
      </w:r>
      <w:r w:rsidRPr="004644B3">
        <w:rPr>
          <w:rFonts w:cs="Times New Roman"/>
          <w:szCs w:val="24"/>
          <w:vertAlign w:val="superscript"/>
        </w:rPr>
        <w:t>[20]</w:t>
      </w:r>
      <w:r w:rsidRPr="004644B3">
        <w:rPr>
          <w:rFonts w:cs="Times New Roman"/>
          <w:szCs w:val="24"/>
        </w:rPr>
        <w:t xml:space="preserve"> </w:t>
      </w:r>
      <w:r w:rsidR="003667EB">
        <w:rPr>
          <w:rFonts w:cs="Times New Roman"/>
          <w:szCs w:val="24"/>
        </w:rPr>
        <w:t>as well as</w:t>
      </w:r>
      <w:r w:rsidRPr="004644B3">
        <w:rPr>
          <w:rFonts w:cs="Times New Roman"/>
          <w:szCs w:val="24"/>
        </w:rPr>
        <w:t xml:space="preserve"> developing of statistical tests to verify agreement with the law. </w:t>
      </w:r>
      <w:r w:rsidRPr="004644B3">
        <w:rPr>
          <w:rFonts w:cs="Times New Roman"/>
          <w:szCs w:val="24"/>
          <w:vertAlign w:val="superscript"/>
        </w:rPr>
        <w:t>[21]</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In his paper, Benford (1937) demonstrated several data sets to agree with the law, including surface areas of 335 rivers, 3259 US populations, 104 physical constants, 1389 specific heat values, 703 pressure data, 1165 Black Body data, and 418 death rates, among others. It </w:t>
      </w:r>
      <w:r w:rsidR="000C723B">
        <w:rPr>
          <w:rFonts w:cs="Times New Roman"/>
          <w:szCs w:val="24"/>
        </w:rPr>
        <w:t>was</w:t>
      </w:r>
      <w:r w:rsidRPr="004644B3">
        <w:rPr>
          <w:rFonts w:cs="Times New Roman"/>
          <w:szCs w:val="24"/>
        </w:rPr>
        <w:t xml:space="preserve"> later shown </w:t>
      </w:r>
      <w:r w:rsidRPr="004644B3">
        <w:rPr>
          <w:rFonts w:cs="Times New Roman"/>
          <w:szCs w:val="24"/>
          <w:vertAlign w:val="superscript"/>
        </w:rPr>
        <w:t>[5]</w:t>
      </w:r>
      <w:r w:rsidR="000C723B">
        <w:rPr>
          <w:rFonts w:cs="Times New Roman"/>
          <w:szCs w:val="24"/>
          <w:vertAlign w:val="superscript"/>
        </w:rPr>
        <w:t xml:space="preserve"> and</w:t>
      </w:r>
      <w:r w:rsidRPr="004644B3">
        <w:rPr>
          <w:rFonts w:cs="Times New Roman"/>
          <w:szCs w:val="24"/>
        </w:rPr>
        <w:t xml:space="preserve"> </w:t>
      </w:r>
      <w:r w:rsidRPr="004644B3">
        <w:rPr>
          <w:rFonts w:cs="Times New Roman"/>
          <w:szCs w:val="24"/>
          <w:vertAlign w:val="superscript"/>
        </w:rPr>
        <w:t>[6]</w:t>
      </w:r>
      <w:r w:rsidRPr="004644B3">
        <w:rPr>
          <w:rFonts w:cs="Times New Roman"/>
          <w:szCs w:val="24"/>
        </w:rPr>
        <w:t xml:space="preserve"> that data sets containing uniformly numbers of several orders of magnitude (e.g. populations) agree with the Benford’s law, while data sets with numbers with mainly within only one order of magnitude (e.g. IQ scores) mostly, if not always, defy the law. Many well-known integer sequences have been shown to comply </w:t>
      </w:r>
      <w:r w:rsidRPr="004644B3">
        <w:rPr>
          <w:rFonts w:cs="Times New Roman"/>
          <w:szCs w:val="24"/>
        </w:rPr>
        <w:lastRenderedPageBreak/>
        <w:t>with the law, among them being Fibonacci numbers (Washington, 1981), the powers of 2 (</w:t>
      </w:r>
      <w:proofErr w:type="spellStart"/>
      <w:r w:rsidRPr="004644B3">
        <w:rPr>
          <w:rFonts w:cs="Times New Roman"/>
          <w:szCs w:val="24"/>
        </w:rPr>
        <w:t>Raimi</w:t>
      </w:r>
      <w:proofErr w:type="spellEnd"/>
      <w:r w:rsidRPr="004644B3">
        <w:rPr>
          <w:rFonts w:cs="Times New Roman"/>
          <w:szCs w:val="24"/>
        </w:rPr>
        <w:t xml:space="preserve"> 1976), and continuous growth processes, especially exponential growth or decay mechanism. </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Several benchmark testing procedures have been suggested to test for agreement with the Benford’s law. Pearson’s chi-squared test is the de facto test in this scenario, while </w:t>
      </w:r>
      <w:proofErr w:type="spellStart"/>
      <w:r w:rsidRPr="004644B3">
        <w:rPr>
          <w:rFonts w:cs="Times New Roman"/>
          <w:szCs w:val="24"/>
        </w:rPr>
        <w:t>Kolmogorovo</w:t>
      </w:r>
      <w:proofErr w:type="spellEnd"/>
      <w:r w:rsidRPr="004644B3">
        <w:rPr>
          <w:rFonts w:cs="Times New Roman"/>
          <w:szCs w:val="24"/>
        </w:rPr>
        <w:t xml:space="preserve">-Smirnov and Kuiper tests are better for small sample sizes. </w:t>
      </w:r>
      <w:r w:rsidRPr="004644B3">
        <w:rPr>
          <w:rFonts w:cs="Times New Roman"/>
          <w:szCs w:val="24"/>
          <w:vertAlign w:val="superscript"/>
        </w:rPr>
        <w:t>[9]</w:t>
      </w:r>
      <w:r w:rsidRPr="004644B3">
        <w:rPr>
          <w:rFonts w:cs="Times New Roman"/>
          <w:szCs w:val="24"/>
        </w:rPr>
        <w:t xml:space="preserve"> There are some tests which are specific to the law, like the test statistics proposed by </w:t>
      </w:r>
      <w:proofErr w:type="spellStart"/>
      <w:r w:rsidRPr="004644B3">
        <w:rPr>
          <w:rFonts w:cs="Times New Roman"/>
          <w:szCs w:val="24"/>
        </w:rPr>
        <w:t>Leemis</w:t>
      </w:r>
      <w:proofErr w:type="spellEnd"/>
      <w:r w:rsidRPr="004644B3">
        <w:rPr>
          <w:rFonts w:cs="Times New Roman"/>
          <w:szCs w:val="24"/>
        </w:rPr>
        <w:t xml:space="preserve"> et al (2000) and Cho et al (2007). </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The goal of this paper is to model the number of deaths due to disaster with the Benford’s law along with carrying the relevant statistical tests, and to reexamine, to greater extent, the compliance of the law with populations of countries (testing for 263 countries and territories, both with small and large populations). The findings can be applied to </w:t>
      </w:r>
      <w:r w:rsidR="007C5086">
        <w:rPr>
          <w:rFonts w:cs="Times New Roman"/>
          <w:szCs w:val="24"/>
        </w:rPr>
        <w:t xml:space="preserve">detecting fraudulent data, </w:t>
      </w:r>
      <w:r w:rsidRPr="004644B3">
        <w:rPr>
          <w:rFonts w:cs="Times New Roman"/>
          <w:szCs w:val="24"/>
        </w:rPr>
        <w:t>disaster-related policy</w:t>
      </w:r>
      <w:r w:rsidR="007C5086">
        <w:rPr>
          <w:rFonts w:cs="Times New Roman"/>
          <w:szCs w:val="24"/>
        </w:rPr>
        <w:t xml:space="preserve">-making, </w:t>
      </w:r>
      <w:r w:rsidRPr="004644B3">
        <w:rPr>
          <w:rFonts w:cs="Times New Roman"/>
          <w:szCs w:val="24"/>
        </w:rPr>
        <w:t xml:space="preserve">as well to estimate the expected number of death tolls due to disasters.  </w:t>
      </w:r>
    </w:p>
    <w:p w:rsidR="00AE181D" w:rsidRPr="004644B3" w:rsidRDefault="00AE181D" w:rsidP="004A695E">
      <w:pPr>
        <w:spacing w:after="120" w:line="240" w:lineRule="auto"/>
        <w:jc w:val="both"/>
        <w:rPr>
          <w:rFonts w:cs="Times New Roman"/>
          <w:szCs w:val="24"/>
          <w:vertAlign w:val="subscript"/>
        </w:rPr>
      </w:pPr>
    </w:p>
    <w:p w:rsidR="00AE181D" w:rsidRDefault="00AE181D" w:rsidP="004A695E">
      <w:pPr>
        <w:pStyle w:val="ListParagraph"/>
        <w:numPr>
          <w:ilvl w:val="0"/>
          <w:numId w:val="2"/>
        </w:numPr>
        <w:spacing w:after="120" w:line="240" w:lineRule="auto"/>
        <w:jc w:val="both"/>
        <w:rPr>
          <w:rFonts w:cs="Times New Roman"/>
          <w:b/>
          <w:bCs/>
          <w:sz w:val="28"/>
          <w:szCs w:val="28"/>
        </w:rPr>
      </w:pPr>
      <w:r w:rsidRPr="002A7E27">
        <w:rPr>
          <w:rFonts w:cs="Times New Roman"/>
          <w:b/>
          <w:bCs/>
          <w:sz w:val="28"/>
          <w:szCs w:val="28"/>
        </w:rPr>
        <w:t>Data and Methodology</w:t>
      </w:r>
    </w:p>
    <w:p w:rsidR="00252A2B" w:rsidRPr="00252A2B" w:rsidRDefault="00252A2B" w:rsidP="00252A2B">
      <w:pPr>
        <w:spacing w:after="120" w:line="240" w:lineRule="auto"/>
        <w:jc w:val="both"/>
        <w:rPr>
          <w:rFonts w:cs="Times New Roman"/>
          <w:b/>
          <w:bCs/>
          <w:sz w:val="28"/>
          <w:szCs w:val="28"/>
        </w:rPr>
      </w:pPr>
    </w:p>
    <w:p w:rsidR="00AE181D" w:rsidRPr="002A7E27" w:rsidRDefault="00AE181D" w:rsidP="004A695E">
      <w:pPr>
        <w:pStyle w:val="ListParagraph"/>
        <w:numPr>
          <w:ilvl w:val="1"/>
          <w:numId w:val="2"/>
        </w:numPr>
        <w:spacing w:after="120" w:line="240" w:lineRule="auto"/>
        <w:jc w:val="both"/>
        <w:rPr>
          <w:rFonts w:cs="Times New Roman"/>
          <w:b/>
          <w:bCs/>
          <w:sz w:val="26"/>
          <w:szCs w:val="26"/>
        </w:rPr>
      </w:pPr>
      <w:r w:rsidRPr="002A7E27">
        <w:rPr>
          <w:rFonts w:cs="Times New Roman"/>
          <w:b/>
          <w:bCs/>
          <w:sz w:val="26"/>
          <w:szCs w:val="26"/>
        </w:rPr>
        <w:t xml:space="preserve">Data collection and processing  </w:t>
      </w:r>
    </w:p>
    <w:p w:rsidR="00AE181D" w:rsidRPr="004644B3" w:rsidRDefault="00AE181D" w:rsidP="004A695E">
      <w:pPr>
        <w:spacing w:after="120" w:line="240" w:lineRule="auto"/>
        <w:jc w:val="both"/>
        <w:rPr>
          <w:rFonts w:cs="Times New Roman"/>
          <w:szCs w:val="24"/>
          <w:vertAlign w:val="subscript"/>
        </w:rPr>
      </w:pPr>
      <w:r w:rsidRPr="004644B3">
        <w:rPr>
          <w:rFonts w:cs="Times New Roman"/>
          <w:szCs w:val="24"/>
        </w:rPr>
        <w:t xml:space="preserve">The primary variable in the study is number of deaths from disasters, considering earthquakes, flood, accidents and wars. For all type of disasters, data were collected from </w:t>
      </w:r>
      <w:r w:rsidR="009B1356">
        <w:rPr>
          <w:rFonts w:cs="Times New Roman"/>
          <w:szCs w:val="24"/>
        </w:rPr>
        <w:t xml:space="preserve">all over </w:t>
      </w:r>
      <w:r w:rsidRPr="004644B3">
        <w:rPr>
          <w:rFonts w:cs="Times New Roman"/>
          <w:szCs w:val="24"/>
        </w:rPr>
        <w:t xml:space="preserve">world, focusing primarily on the deadliest cases on record with respect to number of deaths. Data on earthquakes were collected from various relevant sources, among them being </w:t>
      </w:r>
      <w:r w:rsidR="00252A2B">
        <w:rPr>
          <w:rFonts w:cs="Times New Roman"/>
          <w:szCs w:val="24"/>
        </w:rPr>
        <w:t xml:space="preserve">the </w:t>
      </w:r>
      <w:r w:rsidRPr="004644B3">
        <w:rPr>
          <w:rFonts w:cs="Times New Roman"/>
          <w:szCs w:val="24"/>
        </w:rPr>
        <w:t xml:space="preserve">Unites States Geological Survey (USGS), International Association of Engineering Geology, National Geophysical Data Center etc., on accidents from various news sources including BBC, </w:t>
      </w:r>
      <w:r w:rsidRPr="004644B3">
        <w:rPr>
          <w:rFonts w:cs="Times New Roman"/>
          <w:szCs w:val="24"/>
          <w:vertAlign w:val="superscript"/>
        </w:rPr>
        <w:t>[13]</w:t>
      </w:r>
      <w:r w:rsidRPr="004644B3">
        <w:rPr>
          <w:rFonts w:cs="Times New Roman"/>
          <w:szCs w:val="24"/>
        </w:rPr>
        <w:t xml:space="preserve"> </w:t>
      </w:r>
      <w:r w:rsidRPr="004644B3">
        <w:rPr>
          <w:rFonts w:cs="Times New Roman"/>
          <w:szCs w:val="24"/>
        </w:rPr>
        <w:lastRenderedPageBreak/>
        <w:t xml:space="preserve">the Age, </w:t>
      </w:r>
      <w:r w:rsidRPr="004644B3">
        <w:rPr>
          <w:rFonts w:cs="Times New Roman"/>
          <w:szCs w:val="24"/>
          <w:vertAlign w:val="superscript"/>
        </w:rPr>
        <w:t>[14]</w:t>
      </w:r>
      <w:r w:rsidRPr="004644B3">
        <w:rPr>
          <w:rFonts w:cs="Times New Roman"/>
          <w:szCs w:val="24"/>
        </w:rPr>
        <w:t xml:space="preserve"> and Brisbane Times etc., on wars from </w:t>
      </w:r>
      <w:r w:rsidRPr="004644B3">
        <w:rPr>
          <w:rFonts w:cs="Times New Roman"/>
          <w:szCs w:val="24"/>
          <w:vertAlign w:val="superscript"/>
        </w:rPr>
        <w:t>[10]</w:t>
      </w:r>
      <w:r w:rsidRPr="004644B3">
        <w:rPr>
          <w:rFonts w:cs="Times New Roman"/>
          <w:szCs w:val="24"/>
        </w:rPr>
        <w:t xml:space="preserve">, </w:t>
      </w:r>
      <w:r w:rsidRPr="004644B3">
        <w:rPr>
          <w:rFonts w:cs="Times New Roman"/>
          <w:szCs w:val="24"/>
          <w:vertAlign w:val="superscript"/>
        </w:rPr>
        <w:t>[11]</w:t>
      </w:r>
      <w:r w:rsidRPr="004644B3">
        <w:rPr>
          <w:rFonts w:cs="Times New Roman"/>
          <w:szCs w:val="24"/>
        </w:rPr>
        <w:t xml:space="preserve">, and </w:t>
      </w:r>
      <w:r w:rsidRPr="004644B3">
        <w:rPr>
          <w:rFonts w:cs="Times New Roman"/>
          <w:szCs w:val="24"/>
          <w:vertAlign w:val="superscript"/>
        </w:rPr>
        <w:t>[12]</w:t>
      </w:r>
      <w:r w:rsidRPr="004644B3">
        <w:rPr>
          <w:rFonts w:cs="Times New Roman"/>
          <w:szCs w:val="24"/>
        </w:rPr>
        <w:t xml:space="preserve">, among others, and on flood from Global Active Archive of Large Flood Events, </w:t>
      </w:r>
      <w:r w:rsidRPr="004644B3">
        <w:rPr>
          <w:rFonts w:cs="Times New Roman"/>
          <w:szCs w:val="24"/>
          <w:vertAlign w:val="superscript"/>
        </w:rPr>
        <w:t>[15]</w:t>
      </w:r>
      <w:r w:rsidRPr="004644B3">
        <w:rPr>
          <w:rFonts w:cs="Times New Roman"/>
          <w:szCs w:val="24"/>
        </w:rPr>
        <w:t xml:space="preserve">, and the Dawn etc. Whenever an interval of estimate was found instead of a single number, the lowest estimate was considered. Among the types of accidents considered were structural fires and collapses, road, aviation and maritime accidents, explosions, industrial disasters, and sporting events. Additionally, gathered were data of populations of 263 countries and dependencies since 1960 until 2016, totaling 57 years of data for 263 regions. </w:t>
      </w:r>
      <w:r w:rsidRPr="004644B3">
        <w:rPr>
          <w:rFonts w:cs="Times New Roman"/>
          <w:szCs w:val="24"/>
          <w:vertAlign w:val="superscript"/>
        </w:rPr>
        <w:t>[17]</w:t>
      </w:r>
      <w:r w:rsidRPr="004644B3">
        <w:rPr>
          <w:rFonts w:cs="Times New Roman"/>
          <w:szCs w:val="24"/>
          <w:vertAlign w:val="subscript"/>
        </w:rPr>
        <w:t xml:space="preserve"> </w:t>
      </w:r>
    </w:p>
    <w:p w:rsidR="00AE181D" w:rsidRPr="004644B3" w:rsidRDefault="00AE181D" w:rsidP="004A695E">
      <w:pPr>
        <w:spacing w:after="120" w:line="240" w:lineRule="auto"/>
        <w:jc w:val="both"/>
        <w:rPr>
          <w:rFonts w:cs="Times New Roman"/>
          <w:szCs w:val="24"/>
        </w:rPr>
      </w:pPr>
    </w:p>
    <w:p w:rsidR="00AE181D" w:rsidRPr="003A1A5D" w:rsidRDefault="00AE181D" w:rsidP="004A695E">
      <w:pPr>
        <w:pStyle w:val="ListParagraph"/>
        <w:numPr>
          <w:ilvl w:val="1"/>
          <w:numId w:val="2"/>
        </w:numPr>
        <w:spacing w:after="120" w:line="240" w:lineRule="auto"/>
        <w:jc w:val="both"/>
        <w:rPr>
          <w:rFonts w:cs="Times New Roman"/>
          <w:b/>
          <w:bCs/>
          <w:sz w:val="26"/>
          <w:szCs w:val="26"/>
        </w:rPr>
      </w:pPr>
      <w:r w:rsidRPr="003A1A5D">
        <w:rPr>
          <w:rFonts w:cs="Times New Roman"/>
          <w:b/>
          <w:bCs/>
          <w:sz w:val="26"/>
          <w:szCs w:val="26"/>
        </w:rPr>
        <w:t>Benford’s law</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A collection of numbers is said to obey the Benford’s law if the first digit d (where d </w:t>
      </w:r>
      <w:r w:rsidRPr="004644B3">
        <w:rPr>
          <w:rFonts w:ascii="Cambria Math" w:hAnsi="Cambria Math" w:cs="Cambria Math"/>
          <w:szCs w:val="24"/>
        </w:rPr>
        <w:t>∈</w:t>
      </w:r>
      <w:r w:rsidRPr="004644B3">
        <w:rPr>
          <w:rFonts w:cs="Times New Roman"/>
          <w:szCs w:val="24"/>
        </w:rPr>
        <w:t xml:space="preserve"> {1, 2, </w:t>
      </w:r>
      <w:proofErr w:type="gramStart"/>
      <w:r w:rsidRPr="004644B3">
        <w:rPr>
          <w:rFonts w:cs="Times New Roman"/>
          <w:szCs w:val="24"/>
        </w:rPr>
        <w:t>... ,</w:t>
      </w:r>
      <w:proofErr w:type="gramEnd"/>
      <w:r w:rsidRPr="004644B3">
        <w:rPr>
          <w:rFonts w:cs="Times New Roman"/>
          <w:szCs w:val="24"/>
        </w:rPr>
        <w:t xml:space="preserve">  9} has the probability of occurring</w:t>
      </w:r>
    </w:p>
    <w:p w:rsidR="00AE181D" w:rsidRPr="004644B3" w:rsidRDefault="00AE181D" w:rsidP="00B2245E">
      <w:pPr>
        <w:spacing w:after="120" w:line="240" w:lineRule="auto"/>
        <w:jc w:val="center"/>
        <w:rPr>
          <w:rFonts w:eastAsiaTheme="minorEastAsia"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d>
            <m:dPr>
              <m:ctrlPr>
                <w:rPr>
                  <w:rFonts w:ascii="Cambria Math" w:hAnsi="Cambria Math" w:cs="Times New Roman"/>
                  <w:i/>
                  <w:szCs w:val="24"/>
                </w:rPr>
              </m:ctrlPr>
            </m:dPr>
            <m:e>
              <m:r>
                <w:rPr>
                  <w:rFonts w:ascii="Cambria Math" w:hAnsi="Cambria Math" w:cs="Times New Roman"/>
                  <w:szCs w:val="24"/>
                </w:rPr>
                <m:t>d+1</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d>
            <m:dPr>
              <m:ctrlPr>
                <w:rPr>
                  <w:rFonts w:ascii="Cambria Math" w:hAnsi="Cambria Math" w:cs="Times New Roman"/>
                  <w:i/>
                  <w:szCs w:val="24"/>
                </w:rPr>
              </m:ctrlPr>
            </m:dPr>
            <m:e>
              <m:r>
                <w:rPr>
                  <w:rFonts w:ascii="Cambria Math" w:hAnsi="Cambria Math" w:cs="Times New Roman"/>
                  <w:szCs w:val="24"/>
                </w:rPr>
                <m:t>d</m:t>
              </m:r>
            </m:e>
          </m:d>
        </m:oMath>
      </m:oMathPara>
    </w:p>
    <w:p w:rsidR="00B2245E" w:rsidRPr="00B2245E" w:rsidRDefault="00B2245E" w:rsidP="00B2245E">
      <w:pPr>
        <w:spacing w:after="120" w:line="240" w:lineRule="auto"/>
        <w:jc w:val="center"/>
        <w:rPr>
          <w:rFonts w:eastAsiaTheme="minorEastAsia" w:cs="Times New Roman"/>
          <w:szCs w:val="24"/>
        </w:rPr>
      </w:pPr>
      <m:oMathPara>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d>
            <m:dPr>
              <m:ctrlPr>
                <w:rPr>
                  <w:rFonts w:ascii="Cambria Math"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d+1</m:t>
                  </m:r>
                </m:num>
                <m:den>
                  <m:r>
                    <w:rPr>
                      <w:rFonts w:ascii="Cambria Math" w:eastAsiaTheme="minorEastAsia" w:hAnsi="Cambria Math" w:cs="Times New Roman"/>
                      <w:szCs w:val="24"/>
                    </w:rPr>
                    <m:t>d</m:t>
                  </m:r>
                </m:den>
              </m:f>
            </m:e>
          </m:d>
        </m:oMath>
      </m:oMathPara>
    </w:p>
    <w:p w:rsidR="00B2245E" w:rsidRDefault="00B2245E" w:rsidP="00B2245E">
      <w:pPr>
        <w:spacing w:after="120" w:line="240" w:lineRule="auto"/>
        <w:jc w:val="center"/>
        <w:rPr>
          <w:rFonts w:cs="Times New Roman"/>
          <w:szCs w:val="24"/>
        </w:rPr>
      </w:pPr>
      <m:oMathPara>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d</m:t>
              </m:r>
            </m:den>
          </m:f>
          <m:r>
            <w:rPr>
              <w:rFonts w:ascii="Cambria Math" w:hAnsi="Cambria Math" w:cs="Times New Roman"/>
              <w:szCs w:val="24"/>
            </w:rPr>
            <m:t>)</m:t>
          </m:r>
        </m:oMath>
      </m:oMathPara>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Where, P (d) is the percentage of numbers starting with the digit d.  </w:t>
      </w:r>
    </w:p>
    <w:p w:rsidR="00AE181D" w:rsidRPr="004644B3" w:rsidRDefault="00AE181D" w:rsidP="004A695E">
      <w:pPr>
        <w:spacing w:after="120" w:line="240" w:lineRule="auto"/>
        <w:jc w:val="both"/>
        <w:rPr>
          <w:rFonts w:eastAsiaTheme="minorEastAsia" w:cs="Times New Roman"/>
          <w:szCs w:val="24"/>
        </w:rPr>
      </w:pPr>
      <w:r w:rsidRPr="004644B3">
        <w:rPr>
          <w:rFonts w:eastAsiaTheme="minorEastAsia" w:cs="Times New Roman"/>
          <w:szCs w:val="24"/>
        </w:rPr>
        <w:t xml:space="preserve">The distribution of the leading digits, according to the law is shown in table </w:t>
      </w:r>
      <w:r w:rsidR="005969B8">
        <w:rPr>
          <w:rFonts w:eastAsiaTheme="minorEastAsia" w:cs="Times New Roman"/>
          <w:szCs w:val="24"/>
        </w:rPr>
        <w:t>2</w:t>
      </w:r>
      <w:r w:rsidRPr="004644B3">
        <w:rPr>
          <w:rFonts w:eastAsiaTheme="minorEastAsia" w:cs="Times New Roman"/>
          <w:szCs w:val="24"/>
        </w:rPr>
        <w:t xml:space="preserve">. </w:t>
      </w:r>
      <w:r w:rsidRPr="004644B3">
        <w:rPr>
          <w:rFonts w:cs="Times New Roman"/>
          <w:szCs w:val="24"/>
        </w:rPr>
        <w:tab/>
      </w:r>
    </w:p>
    <w:p w:rsidR="00AE181D" w:rsidRPr="004644B3" w:rsidRDefault="00AE181D" w:rsidP="004A695E">
      <w:pPr>
        <w:spacing w:after="120" w:line="240" w:lineRule="auto"/>
        <w:jc w:val="both"/>
        <w:rPr>
          <w:rFonts w:cs="Times New Roman"/>
          <w:szCs w:val="24"/>
        </w:rPr>
      </w:pPr>
      <w:r w:rsidRPr="004644B3">
        <w:rPr>
          <w:rFonts w:cs="Times New Roman"/>
          <w:szCs w:val="24"/>
        </w:rPr>
        <w:t>The law can be stated for bases other than decimal as well for 2</w:t>
      </w:r>
      <w:r w:rsidRPr="004644B3">
        <w:rPr>
          <w:rFonts w:cs="Times New Roman"/>
          <w:szCs w:val="24"/>
          <w:vertAlign w:val="superscript"/>
        </w:rPr>
        <w:t>nd</w:t>
      </w:r>
      <w:r w:rsidRPr="004644B3">
        <w:rPr>
          <w:rFonts w:cs="Times New Roman"/>
          <w:szCs w:val="24"/>
        </w:rPr>
        <w:t xml:space="preserve"> and later significant digits. </w:t>
      </w:r>
    </w:p>
    <w:p w:rsidR="00AE181D" w:rsidRPr="004644B3" w:rsidRDefault="00AE181D" w:rsidP="004A695E">
      <w:pPr>
        <w:spacing w:after="120" w:line="240" w:lineRule="auto"/>
        <w:jc w:val="both"/>
        <w:rPr>
          <w:rFonts w:cs="Times New Roman"/>
          <w:szCs w:val="24"/>
        </w:rPr>
      </w:pPr>
      <w:r w:rsidRPr="004644B3">
        <w:rPr>
          <w:rFonts w:cs="Times New Roman"/>
          <w:szCs w:val="24"/>
        </w:rPr>
        <w:t>For any number system with base b, the law can be stated as follows:</w:t>
      </w:r>
    </w:p>
    <w:p w:rsidR="00AE181D" w:rsidRPr="00AA2AA2" w:rsidRDefault="00AE181D" w:rsidP="004A695E">
      <w:pPr>
        <w:spacing w:after="120" w:line="240" w:lineRule="auto"/>
        <w:jc w:val="both"/>
        <w:rPr>
          <w:rFonts w:eastAsiaTheme="minorEastAsia" w:cs="Times New Roman"/>
          <w:szCs w:val="24"/>
        </w:rPr>
      </w:pPr>
      <m:oMathPara>
        <m:oMathParaPr>
          <m:jc m:val="center"/>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b</m:t>
              </m:r>
            </m:sub>
          </m:sSub>
          <m:d>
            <m:dPr>
              <m:ctrlPr>
                <w:rPr>
                  <w:rFonts w:ascii="Cambria Math" w:hAnsi="Cambria Math" w:cs="Times New Roman"/>
                  <w:i/>
                  <w:szCs w:val="24"/>
                </w:rPr>
              </m:ctrlPr>
            </m:dPr>
            <m:e>
              <m:r>
                <w:rPr>
                  <w:rFonts w:ascii="Cambria Math" w:hAnsi="Cambria Math" w:cs="Times New Roman"/>
                  <w:szCs w:val="24"/>
                </w:rPr>
                <m:t>d+1</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b</m:t>
              </m:r>
            </m:sub>
          </m:sSub>
          <m:d>
            <m:dPr>
              <m:ctrlPr>
                <w:rPr>
                  <w:rFonts w:ascii="Cambria Math" w:hAnsi="Cambria Math" w:cs="Times New Roman"/>
                  <w:i/>
                  <w:szCs w:val="24"/>
                </w:rPr>
              </m:ctrlPr>
            </m:dPr>
            <m:e>
              <m:r>
                <w:rPr>
                  <w:rFonts w:ascii="Cambria Math" w:hAnsi="Cambria Math" w:cs="Times New Roman"/>
                  <w:szCs w:val="24"/>
                </w:rPr>
                <m:t>d</m:t>
              </m:r>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b</m:t>
              </m:r>
            </m:sub>
          </m:sSub>
          <m:d>
            <m:dPr>
              <m:ctrlPr>
                <w:rPr>
                  <w:rFonts w:ascii="Cambria Math" w:hAnsi="Cambria Math" w:cs="Times New Roman"/>
                  <w:i/>
                  <w:szCs w:val="24"/>
                </w:rPr>
              </m:ctrlPr>
            </m:dPr>
            <m:e>
              <m:f>
                <m:fPr>
                  <m:ctrlPr>
                    <w:rPr>
                      <w:rFonts w:ascii="Cambria Math" w:eastAsiaTheme="minorEastAsia" w:hAnsi="Cambria Math" w:cs="Times New Roman"/>
                      <w:i/>
                      <w:szCs w:val="24"/>
                    </w:rPr>
                  </m:ctrlPr>
                </m:fPr>
                <m:num>
                  <m:r>
                    <w:rPr>
                      <w:rFonts w:ascii="Cambria Math" w:eastAsiaTheme="minorEastAsia" w:hAnsi="Cambria Math" w:cs="Times New Roman"/>
                      <w:szCs w:val="24"/>
                    </w:rPr>
                    <m:t>d+1</m:t>
                  </m:r>
                </m:num>
                <m:den>
                  <m:r>
                    <w:rPr>
                      <w:rFonts w:ascii="Cambria Math" w:eastAsiaTheme="minorEastAsia" w:hAnsi="Cambria Math" w:cs="Times New Roman"/>
                      <w:szCs w:val="24"/>
                    </w:rPr>
                    <m:t>d</m:t>
                  </m:r>
                </m:den>
              </m:f>
            </m:e>
          </m:d>
          <m:r>
            <w:rPr>
              <w:rFonts w:ascii="Cambria Math" w:hAnsi="Cambria Math" w:cs="Times New Roman"/>
              <w:szCs w:val="24"/>
            </w:rPr>
            <m:t xml:space="preserve"> </m:t>
          </m:r>
        </m:oMath>
      </m:oMathPara>
    </w:p>
    <w:p w:rsidR="00AA2AA2" w:rsidRPr="00AA2AA2" w:rsidRDefault="00AA2AA2" w:rsidP="004A695E">
      <w:pPr>
        <w:spacing w:after="120" w:line="240" w:lineRule="auto"/>
        <w:jc w:val="both"/>
        <w:rPr>
          <w:rFonts w:eastAsiaTheme="minorEastAsia" w:cs="Times New Roman"/>
          <w:szCs w:val="24"/>
        </w:rPr>
      </w:pPr>
      <m:oMathPara>
        <m:oMathParaPr>
          <m:jc m:val="center"/>
        </m:oMathParaP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b</m:t>
              </m:r>
            </m:sub>
          </m:sSub>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d</m:t>
              </m:r>
            </m:den>
          </m:f>
          <m:r>
            <w:rPr>
              <w:rFonts w:ascii="Cambria Math" w:hAnsi="Cambria Math" w:cs="Times New Roman"/>
              <w:szCs w:val="24"/>
            </w:rPr>
            <m:t>)</m:t>
          </m:r>
        </m:oMath>
      </m:oMathPara>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Also, </w:t>
      </w:r>
      <w:r w:rsidR="000B24C5">
        <w:rPr>
          <w:rFonts w:cs="Times New Roman"/>
          <w:szCs w:val="24"/>
        </w:rPr>
        <w:t xml:space="preserve">since </w:t>
      </w:r>
      <w:r w:rsidRPr="004644B3">
        <w:rPr>
          <w:rFonts w:cs="Times New Roman"/>
          <w:szCs w:val="24"/>
        </w:rPr>
        <w:t>the law can be generalized</w:t>
      </w:r>
      <w:r w:rsidR="000B24C5">
        <w:rPr>
          <w:rFonts w:cs="Times New Roman"/>
          <w:szCs w:val="24"/>
        </w:rPr>
        <w:t xml:space="preserve"> to digits other than the first,</w:t>
      </w:r>
      <w:r w:rsidRPr="004644B3">
        <w:rPr>
          <w:rFonts w:cs="Times New Roman"/>
          <w:szCs w:val="24"/>
        </w:rPr>
        <w:t xml:space="preserve"> </w:t>
      </w:r>
      <w:r w:rsidRPr="004644B3">
        <w:rPr>
          <w:rFonts w:cs="Times New Roman"/>
          <w:szCs w:val="24"/>
          <w:vertAlign w:val="superscript"/>
        </w:rPr>
        <w:t xml:space="preserve">[18] </w:t>
      </w:r>
      <w:r w:rsidR="000B24C5">
        <w:rPr>
          <w:rFonts w:cs="Times New Roman"/>
          <w:szCs w:val="24"/>
        </w:rPr>
        <w:t>th</w:t>
      </w:r>
      <w:r w:rsidRPr="004644B3">
        <w:rPr>
          <w:rFonts w:cs="Times New Roman"/>
          <w:szCs w:val="24"/>
        </w:rPr>
        <w:t>e probability that d (d=0</w:t>
      </w:r>
      <w:proofErr w:type="gramStart"/>
      <w:r w:rsidRPr="004644B3">
        <w:rPr>
          <w:rFonts w:cs="Times New Roman"/>
          <w:szCs w:val="24"/>
        </w:rPr>
        <w:t>,1</w:t>
      </w:r>
      <w:proofErr w:type="gramEnd"/>
      <w:r w:rsidRPr="004644B3">
        <w:rPr>
          <w:rFonts w:cs="Times New Roman"/>
          <w:szCs w:val="24"/>
        </w:rPr>
        <w:t xml:space="preserve">,…,9) is found as the nth digit is </w:t>
      </w:r>
    </w:p>
    <w:p w:rsidR="00AE181D" w:rsidRPr="004644B3" w:rsidRDefault="009B345E" w:rsidP="004A695E">
      <w:pPr>
        <w:spacing w:after="120" w:line="240" w:lineRule="auto"/>
        <w:jc w:val="both"/>
        <w:rPr>
          <w:rFonts w:eastAsiaTheme="minorEastAsia" w:cs="Times New Roman"/>
          <w:szCs w:val="24"/>
        </w:rPr>
      </w:pPr>
      <m:oMathPara>
        <m:oMath>
          <m:nary>
            <m:naryPr>
              <m:chr m:val="∑"/>
              <m:limLoc m:val="undOvr"/>
              <m:ctrlPr>
                <w:rPr>
                  <w:rFonts w:ascii="Cambria Math" w:hAnsi="Cambria Math" w:cs="Times New Roman"/>
                  <w:i/>
                  <w:szCs w:val="24"/>
                </w:rPr>
              </m:ctrlPr>
            </m:naryPr>
            <m:sub>
              <m:r>
                <w:rPr>
                  <w:rFonts w:ascii="Cambria Math" w:hAnsi="Cambria Math" w:cs="Times New Roman"/>
                  <w:szCs w:val="24"/>
                </w:rPr>
                <m:t>k=</m:t>
              </m:r>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n-2</m:t>
                  </m:r>
                </m:sup>
              </m:sSup>
            </m:sub>
            <m:sup>
              <m:sSup>
                <m:sSupPr>
                  <m:ctrlPr>
                    <w:rPr>
                      <w:rFonts w:ascii="Cambria Math" w:hAnsi="Cambria Math" w:cs="Times New Roman"/>
                      <w:i/>
                      <w:szCs w:val="24"/>
                    </w:rPr>
                  </m:ctrlPr>
                </m:sSupPr>
                <m:e>
                  <m:r>
                    <w:rPr>
                      <w:rFonts w:ascii="Cambria Math" w:hAnsi="Cambria Math" w:cs="Times New Roman"/>
                      <w:szCs w:val="24"/>
                    </w:rPr>
                    <m:t>10</m:t>
                  </m:r>
                </m:e>
                <m:sup>
                  <m:r>
                    <w:rPr>
                      <w:rFonts w:ascii="Cambria Math" w:hAnsi="Cambria Math" w:cs="Times New Roman"/>
                      <w:szCs w:val="24"/>
                    </w:rPr>
                    <m:t>n-1</m:t>
                  </m:r>
                </m:sup>
              </m:sSup>
              <m:r>
                <w:rPr>
                  <w:rFonts w:ascii="Cambria Math" w:hAnsi="Cambria Math" w:cs="Times New Roman"/>
                  <w:szCs w:val="24"/>
                </w:rPr>
                <m:t>-1</m:t>
              </m:r>
            </m:sup>
            <m:e>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10k+d</m:t>
                  </m:r>
                </m:den>
              </m:f>
              <m:r>
                <w:rPr>
                  <w:rFonts w:ascii="Cambria Math" w:hAnsi="Cambria Math" w:cs="Times New Roman"/>
                  <w:szCs w:val="24"/>
                </w:rPr>
                <m:t>)</m:t>
              </m:r>
            </m:e>
          </m:nary>
        </m:oMath>
      </m:oMathPara>
    </w:p>
    <w:p w:rsidR="00AE181D" w:rsidRPr="004644B3" w:rsidRDefault="00AE181D" w:rsidP="004A695E">
      <w:pPr>
        <w:spacing w:after="120" w:line="240" w:lineRule="auto"/>
        <w:jc w:val="both"/>
        <w:rPr>
          <w:rFonts w:eastAsiaTheme="minorEastAsia" w:cs="Times New Roman"/>
          <w:szCs w:val="24"/>
        </w:rPr>
      </w:pPr>
      <w:r w:rsidRPr="004644B3">
        <w:rPr>
          <w:rFonts w:eastAsiaTheme="minorEastAsia" w:cs="Times New Roman"/>
          <w:szCs w:val="24"/>
        </w:rPr>
        <w:t xml:space="preserve">For example, the probability that digit 2 is placed as the second digit is </w:t>
      </w:r>
    </w:p>
    <w:p w:rsidR="00AE181D" w:rsidRPr="003C7B24" w:rsidRDefault="009B345E" w:rsidP="004A695E">
      <w:pPr>
        <w:spacing w:after="120" w:line="240" w:lineRule="auto"/>
        <w:jc w:val="both"/>
        <w:rPr>
          <w:rFonts w:eastAsiaTheme="minorEastAsia" w:cs="Times New Roman"/>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d>
            <m:dPr>
              <m:ctrlPr>
                <w:rPr>
                  <w:rFonts w:ascii="Cambria Math" w:hAnsi="Cambria Math" w:cs="Times New Roman"/>
                  <w:i/>
                  <w:szCs w:val="24"/>
                </w:rPr>
              </m:ctrlPr>
            </m:dPr>
            <m:e>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12</m:t>
                  </m:r>
                </m:den>
              </m:f>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d>
            <m:dPr>
              <m:ctrlPr>
                <w:rPr>
                  <w:rFonts w:ascii="Cambria Math" w:hAnsi="Cambria Math" w:cs="Times New Roman"/>
                  <w:i/>
                  <w:szCs w:val="24"/>
                </w:rPr>
              </m:ctrlPr>
            </m:dPr>
            <m:e>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22</m:t>
                  </m:r>
                </m:den>
              </m:f>
            </m:e>
          </m:d>
        </m:oMath>
      </m:oMathPara>
    </w:p>
    <w:p w:rsidR="003C7B24" w:rsidRPr="003C7B24" w:rsidRDefault="003C7B24" w:rsidP="004A695E">
      <w:pPr>
        <w:spacing w:after="120" w:line="240" w:lineRule="auto"/>
        <w:jc w:val="both"/>
        <w:rPr>
          <w:rFonts w:eastAsiaTheme="minorEastAsia" w:cs="Times New Roman"/>
          <w:szCs w:val="24"/>
        </w:rPr>
      </w:pPr>
      <m:oMathPara>
        <m:oMathParaPr>
          <m:jc m:val="center"/>
        </m:oMathParaP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…+log</m:t>
              </m:r>
            </m:e>
            <m:sub>
              <m:r>
                <w:rPr>
                  <w:rFonts w:ascii="Cambria Math" w:hAnsi="Cambria Math" w:cs="Times New Roman"/>
                  <w:szCs w:val="24"/>
                </w:rPr>
                <m:t>10</m:t>
              </m:r>
            </m:sub>
          </m:sSub>
          <m:d>
            <m:dPr>
              <m:ctrlPr>
                <w:rPr>
                  <w:rFonts w:ascii="Cambria Math" w:hAnsi="Cambria Math" w:cs="Times New Roman"/>
                  <w:i/>
                  <w:szCs w:val="24"/>
                </w:rPr>
              </m:ctrlPr>
            </m:dPr>
            <m:e>
              <m:r>
                <w:rPr>
                  <w:rFonts w:ascii="Cambria Math" w:hAnsi="Cambria Math" w:cs="Times New Roman"/>
                  <w:szCs w:val="24"/>
                </w:rPr>
                <m:t>1+</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92</m:t>
                  </m:r>
                </m:den>
              </m:f>
            </m:e>
          </m:d>
        </m:oMath>
      </m:oMathPara>
    </w:p>
    <w:p w:rsidR="003C7B24" w:rsidRPr="003C7B24" w:rsidRDefault="003C7B24" w:rsidP="004A695E">
      <w:pPr>
        <w:spacing w:after="120" w:line="240" w:lineRule="auto"/>
        <w:jc w:val="both"/>
        <w:rPr>
          <w:rFonts w:eastAsiaTheme="minorEastAsia" w:cs="Times New Roman"/>
          <w:szCs w:val="24"/>
        </w:rPr>
      </w:pPr>
      <m:oMathPara>
        <m:oMathParaPr>
          <m:jc m:val="center"/>
        </m:oMathParaPr>
        <m:oMath>
          <m:r>
            <w:rPr>
              <w:rFonts w:ascii="Cambria Math" w:eastAsiaTheme="minorEastAsia" w:hAnsi="Cambria Math" w:cs="Times New Roman"/>
              <w:szCs w:val="24"/>
            </w:rPr>
            <m:t xml:space="preserve">=0.109 </m:t>
          </m:r>
          <m:d>
            <m:dPr>
              <m:ctrlPr>
                <w:rPr>
                  <w:rFonts w:ascii="Cambria Math" w:eastAsiaTheme="minorEastAsia" w:hAnsi="Cambria Math" w:cs="Times New Roman"/>
                  <w:i/>
                  <w:szCs w:val="24"/>
                </w:rPr>
              </m:ctrlPr>
            </m:dPr>
            <m:e>
              <m:r>
                <w:rPr>
                  <w:rFonts w:ascii="Cambria Math" w:eastAsiaTheme="minorEastAsia" w:hAnsi="Cambria Math" w:cs="Times New Roman"/>
                  <w:szCs w:val="24"/>
                </w:rPr>
                <m:t>approximately</m:t>
              </m:r>
            </m:e>
          </m:d>
        </m:oMath>
      </m:oMathPara>
    </w:p>
    <w:p w:rsidR="00AE181D" w:rsidRPr="004644B3" w:rsidRDefault="00AE181D" w:rsidP="004A695E">
      <w:pPr>
        <w:spacing w:after="120" w:line="240" w:lineRule="auto"/>
        <w:jc w:val="both"/>
        <w:rPr>
          <w:rFonts w:cs="Times New Roman"/>
          <w:szCs w:val="24"/>
        </w:rPr>
      </w:pPr>
    </w:p>
    <w:p w:rsidR="00AE181D" w:rsidRPr="003A1A5D" w:rsidRDefault="00AE181D" w:rsidP="004A695E">
      <w:pPr>
        <w:pStyle w:val="ListParagraph"/>
        <w:numPr>
          <w:ilvl w:val="1"/>
          <w:numId w:val="2"/>
        </w:numPr>
        <w:spacing w:after="120" w:line="240" w:lineRule="auto"/>
        <w:jc w:val="both"/>
        <w:rPr>
          <w:rFonts w:cs="Times New Roman"/>
          <w:b/>
          <w:bCs/>
          <w:sz w:val="26"/>
          <w:szCs w:val="26"/>
        </w:rPr>
      </w:pPr>
      <w:r w:rsidRPr="003A1A5D">
        <w:rPr>
          <w:rFonts w:cs="Times New Roman"/>
          <w:b/>
          <w:bCs/>
          <w:sz w:val="26"/>
          <w:szCs w:val="26"/>
        </w:rPr>
        <w:t>Test procedure</w:t>
      </w:r>
    </w:p>
    <w:p w:rsidR="00AE181D" w:rsidRPr="004644B3" w:rsidRDefault="00AE181D" w:rsidP="004A695E">
      <w:pPr>
        <w:spacing w:after="120" w:line="240" w:lineRule="auto"/>
        <w:jc w:val="both"/>
        <w:rPr>
          <w:rFonts w:cs="Times New Roman"/>
          <w:szCs w:val="24"/>
        </w:rPr>
      </w:pPr>
      <w:r w:rsidRPr="004644B3">
        <w:rPr>
          <w:rFonts w:cs="Times New Roman"/>
          <w:szCs w:val="24"/>
        </w:rPr>
        <w:t>Since the obtained frequencies in our analysis are not small (that is, they are all &gt; 5), the chi-squared test of goodness-of-fit, a test procedure for checking observed frequencies with expected frequencies, can be assumed to be perfect to test for the compliance with the law. The relevant test statistic is as follows:</w:t>
      </w:r>
    </w:p>
    <w:p w:rsidR="00AE181D" w:rsidRPr="004644B3" w:rsidRDefault="009B345E" w:rsidP="004A695E">
      <w:pPr>
        <w:spacing w:after="120" w:line="240" w:lineRule="auto"/>
        <w:jc w:val="both"/>
        <w:rPr>
          <w:rFonts w:eastAsiaTheme="minorEastAsia"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χ</m:t>
              </m:r>
            </m:e>
            <m:sup>
              <m:r>
                <w:rPr>
                  <w:rFonts w:ascii="Cambria Math" w:hAnsi="Cambria Math" w:cs="Times New Roman"/>
                  <w:szCs w:val="24"/>
                </w:rPr>
                <m:t>2</m:t>
              </m:r>
            </m:sup>
          </m:sSup>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num>
                <m:den>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i</m:t>
                      </m:r>
                    </m:sub>
                  </m:sSub>
                </m:den>
              </m:f>
            </m:e>
          </m:nary>
          <m:r>
            <w:rPr>
              <w:rFonts w:ascii="Cambria Math" w:hAnsi="Cambria Math" w:cs="Times New Roman"/>
              <w:szCs w:val="24"/>
            </w:rPr>
            <m:t xml:space="preserve">=N </m:t>
          </m:r>
          <m:nary>
            <m:naryPr>
              <m:chr m:val="∑"/>
              <m:limLoc m:val="undOvr"/>
              <m:ctrlPr>
                <w:rPr>
                  <w:rFonts w:ascii="Cambria Math" w:hAnsi="Cambria Math" w:cs="Times New Roman"/>
                  <w:i/>
                  <w:szCs w:val="24"/>
                </w:rPr>
              </m:ctrlPr>
            </m:naryPr>
            <m:sub>
              <m:r>
                <w:rPr>
                  <w:rFonts w:ascii="Cambria Math" w:hAnsi="Cambria Math" w:cs="Times New Roman"/>
                  <w:szCs w:val="24"/>
                </w:rPr>
                <m:t>1</m:t>
              </m:r>
            </m:sub>
            <m:sup>
              <m:r>
                <w:rPr>
                  <w:rFonts w:ascii="Cambria Math" w:hAnsi="Cambria Math" w:cs="Times New Roman"/>
                  <w:szCs w:val="24"/>
                </w:rPr>
                <m:t>n</m:t>
              </m:r>
            </m:sup>
            <m:e>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i</m:t>
                              </m:r>
                            </m:sub>
                          </m:sSub>
                        </m:num>
                        <m:den>
                          <m:r>
                            <w:rPr>
                              <w:rFonts w:ascii="Cambria Math" w:hAnsi="Cambria Math" w:cs="Times New Roman"/>
                              <w:szCs w:val="24"/>
                            </w:rPr>
                            <m:t>N</m:t>
                          </m:r>
                        </m:den>
                      </m:f>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num>
                <m:den>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den>
              </m:f>
            </m:e>
          </m:nary>
        </m:oMath>
      </m:oMathPara>
    </w:p>
    <w:p w:rsidR="00AE181D" w:rsidRPr="004644B3" w:rsidRDefault="00AE181D" w:rsidP="004A695E">
      <w:pPr>
        <w:spacing w:after="120" w:line="240" w:lineRule="auto"/>
        <w:jc w:val="both"/>
        <w:rPr>
          <w:rFonts w:eastAsiaTheme="minorEastAsia" w:cs="Times New Roman"/>
          <w:szCs w:val="24"/>
        </w:rPr>
      </w:pPr>
      <w:r w:rsidRPr="004644B3">
        <w:rPr>
          <w:rFonts w:eastAsiaTheme="minorEastAsia" w:cs="Times New Roman"/>
          <w:szCs w:val="24"/>
        </w:rPr>
        <w:t xml:space="preserve">Where, </w:t>
      </w:r>
      <m:oMath>
        <m:sSup>
          <m:sSupPr>
            <m:ctrlPr>
              <w:rPr>
                <w:rFonts w:ascii="Cambria Math" w:hAnsi="Cambria Math" w:cs="Times New Roman"/>
                <w:i/>
                <w:szCs w:val="24"/>
              </w:rPr>
            </m:ctrlPr>
          </m:sSupPr>
          <m:e>
            <m:r>
              <w:rPr>
                <w:rFonts w:ascii="Cambria Math" w:hAnsi="Cambria Math" w:cs="Times New Roman"/>
                <w:szCs w:val="24"/>
              </w:rPr>
              <m:t>χ</m:t>
            </m:r>
          </m:e>
          <m:sup>
            <m:r>
              <w:rPr>
                <w:rFonts w:ascii="Cambria Math" w:hAnsi="Cambria Math" w:cs="Times New Roman"/>
                <w:szCs w:val="24"/>
              </w:rPr>
              <m:t>2</m:t>
            </m:r>
          </m:sup>
        </m:sSup>
      </m:oMath>
      <w:r w:rsidRPr="004644B3">
        <w:rPr>
          <w:rFonts w:eastAsiaTheme="minorEastAsia" w:cs="Times New Roman"/>
          <w:szCs w:val="24"/>
        </w:rPr>
        <w:t xml:space="preserve"> = Pearson's cumulative test statistic, which asymptotically approaches a </w:t>
      </w:r>
      <m:oMath>
        <m:sSup>
          <m:sSupPr>
            <m:ctrlPr>
              <w:rPr>
                <w:rFonts w:ascii="Cambria Math" w:hAnsi="Cambria Math" w:cs="Times New Roman"/>
                <w:i/>
                <w:szCs w:val="24"/>
              </w:rPr>
            </m:ctrlPr>
          </m:sSupPr>
          <m:e>
            <m:r>
              <w:rPr>
                <w:rFonts w:ascii="Cambria Math" w:hAnsi="Cambria Math" w:cs="Times New Roman"/>
                <w:szCs w:val="24"/>
              </w:rPr>
              <m:t>χ</m:t>
            </m:r>
          </m:e>
          <m:sup>
            <m:r>
              <w:rPr>
                <w:rFonts w:ascii="Cambria Math" w:hAnsi="Cambria Math" w:cs="Times New Roman"/>
                <w:szCs w:val="24"/>
              </w:rPr>
              <m:t>2</m:t>
            </m:r>
          </m:sup>
        </m:sSup>
      </m:oMath>
      <w:r w:rsidRPr="004644B3">
        <w:rPr>
          <w:rFonts w:eastAsiaTheme="minorEastAsia" w:cs="Times New Roman"/>
          <w:szCs w:val="24"/>
        </w:rPr>
        <w:t>distribution.</w:t>
      </w:r>
    </w:p>
    <w:p w:rsidR="00AE181D" w:rsidRPr="004644B3" w:rsidRDefault="009B345E" w:rsidP="004A695E">
      <w:pPr>
        <w:spacing w:after="120" w:line="240" w:lineRule="auto"/>
        <w:jc w:val="both"/>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O</m:t>
            </m:r>
          </m:e>
          <m:sub>
            <m:r>
              <w:rPr>
                <w:rFonts w:ascii="Cambria Math" w:hAnsi="Cambria Math" w:cs="Times New Roman"/>
                <w:szCs w:val="24"/>
              </w:rPr>
              <m:t>i</m:t>
            </m:r>
          </m:sub>
        </m:sSub>
      </m:oMath>
      <w:r w:rsidR="00AE181D" w:rsidRPr="004644B3">
        <w:rPr>
          <w:rFonts w:eastAsiaTheme="minorEastAsia" w:cs="Times New Roman"/>
          <w:szCs w:val="24"/>
        </w:rPr>
        <w:t xml:space="preserve"> = the </w:t>
      </w:r>
      <w:proofErr w:type="gramStart"/>
      <w:r w:rsidR="00AE181D" w:rsidRPr="004644B3">
        <w:rPr>
          <w:rFonts w:eastAsiaTheme="minorEastAsia" w:cs="Times New Roman"/>
          <w:szCs w:val="24"/>
        </w:rPr>
        <w:t>number of observations of type</w:t>
      </w:r>
      <w:proofErr w:type="gramEnd"/>
      <w:r w:rsidR="00AE181D" w:rsidRPr="004644B3">
        <w:rPr>
          <w:rFonts w:eastAsiaTheme="minorEastAsia" w:cs="Times New Roman"/>
          <w:szCs w:val="24"/>
        </w:rPr>
        <w:t xml:space="preserve"> i.</w:t>
      </w:r>
    </w:p>
    <w:p w:rsidR="00AE181D" w:rsidRPr="004644B3" w:rsidRDefault="009B345E" w:rsidP="004A695E">
      <w:pPr>
        <w:spacing w:after="120" w:line="240" w:lineRule="auto"/>
        <w:jc w:val="both"/>
        <w:rPr>
          <w:rFonts w:eastAsiaTheme="minorEastAsia" w:cs="Times New Roman"/>
          <w:szCs w:val="24"/>
        </w:rPr>
      </w:pPr>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i</m:t>
            </m:r>
          </m:sub>
        </m:sSub>
      </m:oMath>
      <w:r w:rsidR="00AE181D" w:rsidRPr="004644B3">
        <w:rPr>
          <w:rFonts w:eastAsiaTheme="minorEastAsia" w:cs="Times New Roman"/>
          <w:szCs w:val="24"/>
        </w:rPr>
        <w:t xml:space="preserve"> = the expected number of count of type i, as stated by the null hypothesis that the proportion of type i in the population </w:t>
      </w:r>
      <w:proofErr w:type="gramStart"/>
      <w:r w:rsidR="00AE181D" w:rsidRPr="004644B3">
        <w:rPr>
          <w:rFonts w:eastAsiaTheme="minorEastAsia" w:cs="Times New Roman"/>
          <w:szCs w:val="24"/>
        </w:rPr>
        <w:t xml:space="preserve">is </w:t>
      </w:r>
      <w:proofErr w:type="gramEnd"/>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i</m:t>
            </m:r>
          </m:sub>
        </m:sSub>
      </m:oMath>
      <w:r w:rsidR="00AE181D" w:rsidRPr="004644B3">
        <w:rPr>
          <w:rFonts w:eastAsiaTheme="minorEastAsia" w:cs="Times New Roman"/>
          <w:szCs w:val="24"/>
        </w:rPr>
        <w:t xml:space="preserve">. </w:t>
      </w:r>
    </w:p>
    <w:p w:rsidR="00AE181D" w:rsidRPr="004644B3" w:rsidRDefault="00AE181D" w:rsidP="004A695E">
      <w:pPr>
        <w:spacing w:after="120" w:line="240" w:lineRule="auto"/>
        <w:jc w:val="both"/>
        <w:rPr>
          <w:rFonts w:eastAsiaTheme="minorEastAsia" w:cs="Times New Roman"/>
          <w:szCs w:val="24"/>
        </w:rPr>
      </w:pPr>
      <w:r w:rsidRPr="004644B3">
        <w:rPr>
          <w:rFonts w:eastAsiaTheme="minorEastAsia" w:cs="Times New Roman"/>
          <w:szCs w:val="24"/>
        </w:rPr>
        <w:t xml:space="preserve">n = number of cells in the table. </w:t>
      </w:r>
    </w:p>
    <w:p w:rsidR="00AE181D" w:rsidRPr="004644B3" w:rsidRDefault="00AE181D" w:rsidP="004A695E">
      <w:pPr>
        <w:spacing w:after="120" w:line="240" w:lineRule="auto"/>
        <w:jc w:val="both"/>
        <w:rPr>
          <w:rFonts w:eastAsiaTheme="minorEastAsia" w:cs="Times New Roman"/>
          <w:color w:val="000000" w:themeColor="text1"/>
          <w:szCs w:val="24"/>
        </w:rPr>
      </w:pPr>
      <w:r w:rsidRPr="004644B3">
        <w:rPr>
          <w:rFonts w:eastAsiaTheme="minorEastAsia" w:cs="Times New Roman"/>
          <w:szCs w:val="24"/>
        </w:rPr>
        <w:t>For the above statistic, the null hypothesis is that there is no difference between observed and expected frequencies of numbers. If p</w:t>
      </w:r>
      <w:r w:rsidRPr="004644B3">
        <w:rPr>
          <w:rFonts w:eastAsiaTheme="minorEastAsia" w:cs="Times New Roman"/>
          <w:color w:val="000000" w:themeColor="text1"/>
          <w:szCs w:val="24"/>
        </w:rPr>
        <w:t xml:space="preserve">-values obtained from the estimation are </w:t>
      </w:r>
      <w:r w:rsidR="00A46F32">
        <w:rPr>
          <w:rFonts w:eastAsiaTheme="minorEastAsia" w:cs="Times New Roman"/>
          <w:color w:val="000000" w:themeColor="text1"/>
          <w:szCs w:val="24"/>
        </w:rPr>
        <w:t>greater</w:t>
      </w:r>
      <w:r w:rsidRPr="004644B3">
        <w:rPr>
          <w:rFonts w:eastAsiaTheme="minorEastAsia" w:cs="Times New Roman"/>
          <w:color w:val="000000" w:themeColor="text1"/>
          <w:szCs w:val="24"/>
        </w:rPr>
        <w:t xml:space="preserve"> than 0.01 and 0.05, this will imply that the observed frequencies are </w:t>
      </w:r>
      <w:r w:rsidR="00A46F32">
        <w:rPr>
          <w:rFonts w:eastAsiaTheme="minorEastAsia" w:cs="Times New Roman"/>
          <w:color w:val="000000" w:themeColor="text1"/>
          <w:szCs w:val="24"/>
        </w:rPr>
        <w:t>in compliance with</w:t>
      </w:r>
      <w:r w:rsidRPr="004644B3">
        <w:rPr>
          <w:rFonts w:eastAsiaTheme="minorEastAsia" w:cs="Times New Roman"/>
          <w:color w:val="000000" w:themeColor="text1"/>
          <w:szCs w:val="24"/>
        </w:rPr>
        <w:t xml:space="preserve"> </w:t>
      </w:r>
      <w:r w:rsidR="00A46F32">
        <w:rPr>
          <w:rFonts w:eastAsiaTheme="minorEastAsia" w:cs="Times New Roman"/>
          <w:color w:val="000000" w:themeColor="text1"/>
          <w:szCs w:val="24"/>
        </w:rPr>
        <w:t>the</w:t>
      </w:r>
      <w:r w:rsidRPr="004644B3">
        <w:rPr>
          <w:rFonts w:eastAsiaTheme="minorEastAsia" w:cs="Times New Roman"/>
          <w:color w:val="000000" w:themeColor="text1"/>
          <w:szCs w:val="24"/>
        </w:rPr>
        <w:t xml:space="preserve"> expected frequencies</w:t>
      </w:r>
      <w:r w:rsidR="00A46F32">
        <w:rPr>
          <w:rFonts w:eastAsiaTheme="minorEastAsia" w:cs="Times New Roman"/>
          <w:color w:val="000000" w:themeColor="text1"/>
          <w:szCs w:val="24"/>
        </w:rPr>
        <w:t xml:space="preserve"> (as predicted by Benford’s law)</w:t>
      </w:r>
      <w:r w:rsidRPr="004644B3">
        <w:rPr>
          <w:rFonts w:eastAsiaTheme="minorEastAsia" w:cs="Times New Roman"/>
          <w:color w:val="000000" w:themeColor="text1"/>
          <w:szCs w:val="24"/>
        </w:rPr>
        <w:t xml:space="preserve"> at 0.01 and 0.05 levels of significance, respectively. </w:t>
      </w:r>
    </w:p>
    <w:p w:rsidR="00AE181D" w:rsidRPr="004644B3" w:rsidRDefault="00AE181D" w:rsidP="004A695E">
      <w:pPr>
        <w:spacing w:after="120" w:line="240" w:lineRule="auto"/>
        <w:jc w:val="both"/>
        <w:rPr>
          <w:rFonts w:eastAsiaTheme="minorEastAsia" w:cs="Times New Roman"/>
          <w:color w:val="000000" w:themeColor="text1"/>
          <w:szCs w:val="24"/>
        </w:rPr>
      </w:pPr>
      <w:r w:rsidRPr="004644B3">
        <w:rPr>
          <w:rFonts w:eastAsiaTheme="minorEastAsia" w:cs="Times New Roman"/>
          <w:color w:val="000000" w:themeColor="text1"/>
          <w:szCs w:val="24"/>
        </w:rPr>
        <w:lastRenderedPageBreak/>
        <w:t xml:space="preserve">Tests which are specific to this law are also available </w:t>
      </w:r>
      <w:r w:rsidRPr="004644B3">
        <w:rPr>
          <w:rFonts w:eastAsiaTheme="minorEastAsia" w:cs="Times New Roman"/>
          <w:color w:val="000000" w:themeColor="text1"/>
          <w:szCs w:val="24"/>
          <w:vertAlign w:val="superscript"/>
        </w:rPr>
        <w:t>[22] [23]</w:t>
      </w:r>
      <w:r w:rsidRPr="004644B3">
        <w:rPr>
          <w:rFonts w:eastAsiaTheme="minorEastAsia" w:cs="Times New Roman"/>
          <w:color w:val="000000" w:themeColor="text1"/>
          <w:szCs w:val="24"/>
        </w:rPr>
        <w:t xml:space="preserve"> due to </w:t>
      </w:r>
      <w:proofErr w:type="spellStart"/>
      <w:r w:rsidRPr="004644B3">
        <w:rPr>
          <w:rFonts w:cs="Times New Roman"/>
          <w:szCs w:val="24"/>
        </w:rPr>
        <w:t>Leemis</w:t>
      </w:r>
      <w:proofErr w:type="spellEnd"/>
      <w:r w:rsidRPr="004644B3">
        <w:rPr>
          <w:rFonts w:cs="Times New Roman"/>
          <w:szCs w:val="24"/>
        </w:rPr>
        <w:t xml:space="preserve"> et al (2000) and Cho et al (2007). </w:t>
      </w:r>
    </w:p>
    <w:p w:rsidR="00AE181D" w:rsidRPr="004644B3" w:rsidRDefault="00AE181D" w:rsidP="004A695E">
      <w:pPr>
        <w:spacing w:after="120" w:line="240" w:lineRule="auto"/>
        <w:jc w:val="both"/>
        <w:rPr>
          <w:rFonts w:eastAsiaTheme="minorEastAsia" w:cs="Times New Roman"/>
          <w:szCs w:val="24"/>
        </w:rPr>
      </w:pPr>
      <w:r w:rsidRPr="004644B3">
        <w:rPr>
          <w:rFonts w:eastAsiaTheme="minorEastAsia" w:cs="Times New Roman"/>
          <w:szCs w:val="24"/>
        </w:rPr>
        <w:t xml:space="preserve">The test statistic proposed by </w:t>
      </w:r>
      <w:proofErr w:type="spellStart"/>
      <w:r w:rsidRPr="004644B3">
        <w:rPr>
          <w:rFonts w:eastAsiaTheme="minorEastAsia" w:cs="Times New Roman"/>
          <w:szCs w:val="24"/>
        </w:rPr>
        <w:t>Leemis</w:t>
      </w:r>
      <w:proofErr w:type="spellEnd"/>
      <w:r w:rsidRPr="004644B3">
        <w:rPr>
          <w:rFonts w:eastAsiaTheme="minorEastAsia" w:cs="Times New Roman"/>
          <w:szCs w:val="24"/>
        </w:rPr>
        <w:t xml:space="preserve"> et al is known as max (m) or </w:t>
      </w:r>
      <w:proofErr w:type="spellStart"/>
      <w:r w:rsidRPr="004644B3">
        <w:rPr>
          <w:rFonts w:eastAsiaTheme="minorEastAsia" w:cs="Times New Roman"/>
          <w:szCs w:val="24"/>
        </w:rPr>
        <w:t>Lemis’s</w:t>
      </w:r>
      <w:proofErr w:type="spellEnd"/>
      <w:r w:rsidRPr="004644B3">
        <w:rPr>
          <w:rFonts w:eastAsiaTheme="minorEastAsia" w:cs="Times New Roman"/>
          <w:szCs w:val="24"/>
        </w:rPr>
        <w:t xml:space="preserve"> m and defined as below:</w:t>
      </w:r>
    </w:p>
    <w:p w:rsidR="00AE181D" w:rsidRPr="00D33B7F" w:rsidRDefault="00AE181D" w:rsidP="004A695E">
      <w:pPr>
        <w:spacing w:after="120" w:line="240" w:lineRule="auto"/>
        <w:jc w:val="both"/>
        <w:rPr>
          <w:rFonts w:eastAsiaTheme="minorEastAsia" w:cs="Times New Roman"/>
          <w:szCs w:val="24"/>
        </w:rPr>
      </w:pPr>
      <m:oMathPara>
        <m:oMath>
          <m:r>
            <w:rPr>
              <w:rFonts w:ascii="Cambria Math" w:eastAsiaTheme="minorEastAsia" w:hAnsi="Cambria Math" w:cs="Times New Roman"/>
              <w:szCs w:val="24"/>
            </w:rPr>
            <m:t xml:space="preserve">m= </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N</m:t>
              </m:r>
            </m:e>
          </m:rad>
          <m:r>
            <w:rPr>
              <w:rFonts w:ascii="Cambria Math" w:eastAsiaTheme="minorEastAsia" w:hAnsi="Cambria Math" w:cs="Times New Roman"/>
              <w:szCs w:val="24"/>
            </w:rPr>
            <m:t xml:space="preserve">. </m:t>
          </m:r>
          <m:sPre>
            <m:sPrePr>
              <m:ctrlPr>
                <w:rPr>
                  <w:rFonts w:ascii="Cambria Math" w:eastAsiaTheme="minorEastAsia" w:hAnsi="Cambria Math" w:cs="Times New Roman"/>
                  <w:i/>
                  <w:szCs w:val="24"/>
                </w:rPr>
              </m:ctrlPr>
            </m:sPrePr>
            <m:sub>
              <m:r>
                <w:rPr>
                  <w:rFonts w:ascii="Cambria Math" w:eastAsiaTheme="minorEastAsia" w:hAnsi="Cambria Math" w:cs="Times New Roman"/>
                  <w:szCs w:val="24"/>
                </w:rPr>
                <m:t>i=1</m:t>
              </m:r>
            </m:sub>
            <m:sup>
              <m:r>
                <w:rPr>
                  <w:rFonts w:ascii="Cambria Math" w:eastAsiaTheme="minorEastAsia" w:hAnsi="Cambria Math" w:cs="Times New Roman"/>
                  <w:szCs w:val="24"/>
                </w:rPr>
                <m:t>9</m:t>
              </m:r>
            </m:sup>
            <m:e>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max</m:t>
                  </m:r>
                </m:fName>
                <m:e>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Pr</m:t>
                      </m: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X has FSD=i</m:t>
                          </m:r>
                        </m:e>
                      </m:d>
                      <m:r>
                        <w:rPr>
                          <w:rFonts w:ascii="Cambria Math" w:eastAsiaTheme="minorEastAsia" w:hAnsi="Cambria Math" w:cs="Times New Roman"/>
                          <w:szCs w:val="24"/>
                        </w:rPr>
                        <m:t xml:space="preserve">  </m:t>
                      </m:r>
                    </m:e>
                  </m:func>
                </m:e>
              </m:func>
            </m:e>
          </m:sPre>
        </m:oMath>
      </m:oMathPara>
    </w:p>
    <w:p w:rsidR="00D33B7F" w:rsidRPr="004644B3" w:rsidRDefault="00D33B7F" w:rsidP="004A695E">
      <w:pPr>
        <w:spacing w:after="120" w:line="240" w:lineRule="auto"/>
        <w:jc w:val="both"/>
        <w:rPr>
          <w:rFonts w:eastAsiaTheme="minorEastAsia" w:cs="Times New Roman"/>
          <w:szCs w:val="24"/>
        </w:rPr>
      </w:pPr>
      <m:oMathPara>
        <m:oMath>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log</m:t>
              </m:r>
            </m:e>
            <m:sub>
              <m:r>
                <w:rPr>
                  <w:rFonts w:ascii="Cambria Math" w:eastAsiaTheme="minorEastAsia" w:hAnsi="Cambria Math" w:cs="Times New Roman"/>
                  <w:szCs w:val="24"/>
                </w:rPr>
                <m:t>10</m:t>
              </m:r>
            </m:sub>
          </m:sSub>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i</m:t>
              </m:r>
            </m:den>
          </m:f>
          <m:r>
            <w:rPr>
              <w:rFonts w:ascii="Cambria Math" w:eastAsiaTheme="minorEastAsia" w:hAnsi="Cambria Math" w:cs="Times New Roman"/>
              <w:szCs w:val="24"/>
            </w:rPr>
            <m:t>)|}</m:t>
          </m:r>
        </m:oMath>
      </m:oMathPara>
    </w:p>
    <w:p w:rsidR="00AE181D" w:rsidRDefault="00AE181D" w:rsidP="004A695E">
      <w:pPr>
        <w:spacing w:after="120" w:line="240" w:lineRule="auto"/>
        <w:jc w:val="both"/>
        <w:rPr>
          <w:rFonts w:eastAsiaTheme="minorEastAsia" w:cs="Times New Roman"/>
          <w:szCs w:val="24"/>
        </w:rPr>
      </w:pPr>
      <w:r w:rsidRPr="004644B3">
        <w:rPr>
          <w:rFonts w:eastAsiaTheme="minorEastAsia" w:cs="Times New Roman"/>
          <w:szCs w:val="24"/>
        </w:rPr>
        <w:t xml:space="preserve">Where FSD is the first significant digit and N is the sample size. </w:t>
      </w:r>
    </w:p>
    <w:p w:rsidR="009E1D51" w:rsidRPr="004644B3" w:rsidRDefault="0042236E" w:rsidP="009E1D51">
      <w:pPr>
        <w:spacing w:after="120" w:line="240" w:lineRule="auto"/>
        <w:jc w:val="both"/>
        <w:rPr>
          <w:rFonts w:eastAsiaTheme="minorEastAsia" w:cs="Times New Roman"/>
          <w:szCs w:val="24"/>
        </w:rPr>
      </w:pPr>
      <w:r>
        <w:rPr>
          <w:rFonts w:eastAsiaTheme="minorEastAsia" w:cs="Times New Roman"/>
          <w:b/>
          <w:bCs/>
          <w:szCs w:val="24"/>
        </w:rPr>
        <w:t>Table 1</w:t>
      </w:r>
      <w:r w:rsidR="009E1D51" w:rsidRPr="004644B3">
        <w:rPr>
          <w:rFonts w:eastAsiaTheme="minorEastAsia" w:cs="Times New Roman"/>
          <w:szCs w:val="24"/>
        </w:rPr>
        <w:t xml:space="preserve"> </w:t>
      </w:r>
      <w:r w:rsidR="009E1D51">
        <w:rPr>
          <w:rFonts w:eastAsiaTheme="minorEastAsia" w:cs="Times New Roman"/>
          <w:szCs w:val="24"/>
        </w:rPr>
        <w:t>C</w:t>
      </w:r>
      <w:r w:rsidR="009E1D51" w:rsidRPr="004644B3">
        <w:rPr>
          <w:rFonts w:eastAsiaTheme="minorEastAsia" w:cs="Times New Roman"/>
          <w:szCs w:val="24"/>
        </w:rPr>
        <w:t xml:space="preserve">ritical regions of </w:t>
      </w:r>
      <w:proofErr w:type="spellStart"/>
      <w:r w:rsidR="009E1D51" w:rsidRPr="004644B3">
        <w:rPr>
          <w:rFonts w:eastAsiaTheme="minorEastAsia" w:cs="Times New Roman"/>
          <w:szCs w:val="24"/>
        </w:rPr>
        <w:t>Leemis’s</w:t>
      </w:r>
      <w:proofErr w:type="spellEnd"/>
      <w:r w:rsidR="009E1D51" w:rsidRPr="004644B3">
        <w:rPr>
          <w:rFonts w:eastAsiaTheme="minorEastAsia" w:cs="Times New Roman"/>
          <w:szCs w:val="24"/>
        </w:rPr>
        <w:t xml:space="preserve"> m and Cho-Gaines’s test statistics at different levels of significance. </w:t>
      </w:r>
      <w:r w:rsidR="009E1D51">
        <w:rPr>
          <w:rFonts w:eastAsiaTheme="minorEastAsia" w:cs="Times New Roman"/>
          <w:szCs w:val="24"/>
        </w:rPr>
        <w:t xml:space="preserve">   </w:t>
      </w:r>
    </w:p>
    <w:tbl>
      <w:tblPr>
        <w:tblStyle w:val="TableGrid"/>
        <w:tblW w:w="0" w:type="auto"/>
        <w:jc w:val="center"/>
        <w:tblLook w:val="04A0" w:firstRow="1" w:lastRow="0" w:firstColumn="1" w:lastColumn="0" w:noHBand="0" w:noVBand="1"/>
      </w:tblPr>
      <w:tblGrid>
        <w:gridCol w:w="1623"/>
        <w:gridCol w:w="756"/>
        <w:gridCol w:w="756"/>
        <w:gridCol w:w="756"/>
      </w:tblGrid>
      <w:tr w:rsidR="009E1D51" w:rsidRPr="004644B3" w:rsidTr="00195F8D">
        <w:trPr>
          <w:trHeight w:val="620"/>
          <w:jc w:val="center"/>
        </w:trPr>
        <w:tc>
          <w:tcPr>
            <w:tcW w:w="0" w:type="auto"/>
          </w:tcPr>
          <w:p w:rsidR="009E1D51" w:rsidRPr="004644B3" w:rsidRDefault="009E1D51" w:rsidP="00195F8D">
            <w:pPr>
              <w:spacing w:after="120"/>
              <w:jc w:val="right"/>
              <w:rPr>
                <w:rFonts w:eastAsiaTheme="minorEastAsia" w:cs="Times New Roman"/>
                <w:szCs w:val="24"/>
              </w:rPr>
            </w:pPr>
            <w:r w:rsidRPr="004644B3">
              <w:rPr>
                <w:rFonts w:eastAsiaTheme="minorEastAsia" w:cs="Times New Roman"/>
                <w:noProof/>
                <w:szCs w:val="24"/>
              </w:rPr>
              <mc:AlternateContent>
                <mc:Choice Requires="wps">
                  <w:drawing>
                    <wp:anchor distT="0" distB="0" distL="114300" distR="114300" simplePos="0" relativeHeight="251663360" behindDoc="0" locked="0" layoutInCell="1" allowOverlap="1" wp14:anchorId="1CAFCC4C" wp14:editId="1F3D472B">
                      <wp:simplePos x="0" y="0"/>
                      <wp:positionH relativeFrom="column">
                        <wp:posOffset>-44450</wp:posOffset>
                      </wp:positionH>
                      <wp:positionV relativeFrom="paragraph">
                        <wp:posOffset>-9525</wp:posOffset>
                      </wp:positionV>
                      <wp:extent cx="981075" cy="48577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9810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75pt" to="73.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" strokecolor="black [3213]"/>
                  </w:pict>
                </mc:Fallback>
              </mc:AlternateContent>
            </w:r>
            <w:r w:rsidRPr="004644B3">
              <w:rPr>
                <w:rFonts w:eastAsiaTheme="minorEastAsia" w:cs="Times New Roman"/>
                <w:szCs w:val="24"/>
              </w:rPr>
              <w:t>α</w:t>
            </w:r>
          </w:p>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 xml:space="preserve">Statistic                   </w:t>
            </w:r>
          </w:p>
        </w:tc>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0.10</w:t>
            </w:r>
          </w:p>
        </w:tc>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0.05</w:t>
            </w:r>
          </w:p>
        </w:tc>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0.01</w:t>
            </w:r>
          </w:p>
        </w:tc>
      </w:tr>
      <w:tr w:rsidR="009E1D51" w:rsidRPr="004644B3" w:rsidTr="00195F8D">
        <w:trPr>
          <w:jc w:val="center"/>
        </w:trPr>
        <w:tc>
          <w:tcPr>
            <w:tcW w:w="0" w:type="auto"/>
          </w:tcPr>
          <w:p w:rsidR="009E1D51" w:rsidRPr="004644B3" w:rsidRDefault="009E1D51" w:rsidP="00195F8D">
            <w:pPr>
              <w:spacing w:after="120"/>
              <w:jc w:val="both"/>
              <w:rPr>
                <w:rFonts w:eastAsiaTheme="minorEastAsia" w:cs="Times New Roman"/>
                <w:szCs w:val="24"/>
              </w:rPr>
            </w:pPr>
            <w:proofErr w:type="spellStart"/>
            <w:r w:rsidRPr="004644B3">
              <w:rPr>
                <w:rFonts w:eastAsiaTheme="minorEastAsia" w:cs="Times New Roman"/>
                <w:szCs w:val="24"/>
              </w:rPr>
              <w:t>Leemis</w:t>
            </w:r>
            <w:proofErr w:type="spellEnd"/>
            <w:r w:rsidRPr="004644B3">
              <w:rPr>
                <w:rFonts w:eastAsiaTheme="minorEastAsia" w:cs="Times New Roman"/>
                <w:szCs w:val="24"/>
              </w:rPr>
              <w:t>’ m</w:t>
            </w:r>
          </w:p>
        </w:tc>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0.851</w:t>
            </w:r>
          </w:p>
        </w:tc>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0.967</w:t>
            </w:r>
          </w:p>
        </w:tc>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1.212</w:t>
            </w:r>
          </w:p>
        </w:tc>
      </w:tr>
      <w:tr w:rsidR="009E1D51" w:rsidRPr="004644B3" w:rsidTr="00195F8D">
        <w:trPr>
          <w:jc w:val="center"/>
        </w:trPr>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Cho-Gaines’ d</w:t>
            </w:r>
          </w:p>
        </w:tc>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1.212</w:t>
            </w:r>
          </w:p>
        </w:tc>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1.330</w:t>
            </w:r>
          </w:p>
        </w:tc>
        <w:tc>
          <w:tcPr>
            <w:tcW w:w="0" w:type="auto"/>
          </w:tcPr>
          <w:p w:rsidR="009E1D51" w:rsidRPr="004644B3" w:rsidRDefault="009E1D51" w:rsidP="00195F8D">
            <w:pPr>
              <w:spacing w:after="120"/>
              <w:jc w:val="both"/>
              <w:rPr>
                <w:rFonts w:eastAsiaTheme="minorEastAsia" w:cs="Times New Roman"/>
                <w:szCs w:val="24"/>
              </w:rPr>
            </w:pPr>
            <w:r w:rsidRPr="004644B3">
              <w:rPr>
                <w:rFonts w:eastAsiaTheme="minorEastAsia" w:cs="Times New Roman"/>
                <w:szCs w:val="24"/>
              </w:rPr>
              <w:t>1.569</w:t>
            </w:r>
          </w:p>
        </w:tc>
      </w:tr>
    </w:tbl>
    <w:p w:rsidR="009E1D51" w:rsidRPr="004644B3" w:rsidRDefault="009E1D51" w:rsidP="004A695E">
      <w:pPr>
        <w:spacing w:after="120" w:line="240" w:lineRule="auto"/>
        <w:jc w:val="both"/>
        <w:rPr>
          <w:rFonts w:eastAsiaTheme="minorEastAsia" w:cs="Times New Roman"/>
          <w:szCs w:val="24"/>
        </w:rPr>
      </w:pPr>
    </w:p>
    <w:p w:rsidR="00AE181D" w:rsidRPr="004644B3" w:rsidRDefault="00AE181D" w:rsidP="004A695E">
      <w:pPr>
        <w:spacing w:after="120" w:line="240" w:lineRule="auto"/>
        <w:jc w:val="both"/>
        <w:rPr>
          <w:rFonts w:eastAsiaTheme="minorEastAsia" w:cs="Times New Roman"/>
          <w:szCs w:val="24"/>
        </w:rPr>
      </w:pPr>
      <w:r w:rsidRPr="004644B3">
        <w:rPr>
          <w:rFonts w:eastAsiaTheme="minorEastAsia" w:cs="Times New Roman"/>
          <w:szCs w:val="24"/>
        </w:rPr>
        <w:t>And the test statistic, called the distance statistic (d) or Cho-</w:t>
      </w:r>
      <w:proofErr w:type="gramStart"/>
      <w:r w:rsidRPr="004644B3">
        <w:rPr>
          <w:rFonts w:eastAsiaTheme="minorEastAsia" w:cs="Times New Roman"/>
          <w:szCs w:val="24"/>
        </w:rPr>
        <w:t>Gaines’ d</w:t>
      </w:r>
      <w:proofErr w:type="gramEnd"/>
      <w:r w:rsidRPr="004644B3">
        <w:rPr>
          <w:rFonts w:eastAsiaTheme="minorEastAsia" w:cs="Times New Roman"/>
          <w:szCs w:val="24"/>
        </w:rPr>
        <w:t>, proposed by Cho et al is as follows:</w:t>
      </w:r>
    </w:p>
    <w:p w:rsidR="00AE181D" w:rsidRPr="004644B3" w:rsidRDefault="00AE181D" w:rsidP="004A695E">
      <w:pPr>
        <w:spacing w:after="120" w:line="240" w:lineRule="auto"/>
        <w:jc w:val="both"/>
        <w:rPr>
          <w:rFonts w:eastAsiaTheme="minorEastAsia" w:cs="Times New Roman"/>
          <w:szCs w:val="24"/>
        </w:rPr>
      </w:pPr>
      <m:oMathPara>
        <m:oMath>
          <m:r>
            <w:rPr>
              <w:rFonts w:ascii="Cambria Math" w:eastAsiaTheme="minorEastAsia" w:hAnsi="Cambria Math" w:cs="Times New Roman"/>
              <w:szCs w:val="24"/>
            </w:rPr>
            <m:t>d=</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 xml:space="preserve">N. </m:t>
              </m:r>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i=1</m:t>
                  </m:r>
                </m:sub>
                <m:sup>
                  <m:r>
                    <w:rPr>
                      <w:rFonts w:ascii="Cambria Math" w:eastAsiaTheme="minorEastAsia" w:hAnsi="Cambria Math" w:cs="Times New Roman"/>
                      <w:szCs w:val="24"/>
                    </w:rPr>
                    <m:t>9</m:t>
                  </m:r>
                </m:sup>
                <m:e>
                  <m:r>
                    <w:rPr>
                      <w:rFonts w:ascii="Cambria Math" w:eastAsiaTheme="minorEastAsia" w:hAnsi="Cambria Math" w:cs="Times New Roman"/>
                      <w:szCs w:val="24"/>
                    </w:rPr>
                    <m:t>[</m:t>
                  </m:r>
                  <m:func>
                    <m:funcPr>
                      <m:ctrlPr>
                        <w:rPr>
                          <w:rFonts w:ascii="Cambria Math" w:eastAsiaTheme="minorEastAsia" w:hAnsi="Cambria Math" w:cs="Times New Roman"/>
                          <w:i/>
                          <w:szCs w:val="24"/>
                        </w:rPr>
                      </m:ctrlPr>
                    </m:funcPr>
                    <m:fName>
                      <m:r>
                        <m:rPr>
                          <m:sty m:val="p"/>
                        </m:rPr>
                        <w:rPr>
                          <w:rFonts w:ascii="Cambria Math" w:eastAsiaTheme="minorEastAsia" w:hAnsi="Cambria Math" w:cs="Times New Roman"/>
                          <w:szCs w:val="24"/>
                        </w:rPr>
                        <m:t>Pr</m:t>
                      </m:r>
                    </m:fName>
                    <m:e>
                      <m:d>
                        <m:dPr>
                          <m:ctrlPr>
                            <w:rPr>
                              <w:rFonts w:ascii="Cambria Math" w:eastAsiaTheme="minorEastAsia" w:hAnsi="Cambria Math" w:cs="Times New Roman"/>
                              <w:i/>
                              <w:szCs w:val="24"/>
                            </w:rPr>
                          </m:ctrlPr>
                        </m:dPr>
                        <m:e>
                          <m:r>
                            <w:rPr>
                              <w:rFonts w:ascii="Cambria Math" w:eastAsiaTheme="minorEastAsia" w:hAnsi="Cambria Math" w:cs="Times New Roman"/>
                              <w:szCs w:val="24"/>
                            </w:rPr>
                            <m:t>X has FSD=i</m:t>
                          </m:r>
                        </m:e>
                      </m:d>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log</m:t>
                          </m:r>
                        </m:e>
                        <m:sub>
                          <m:r>
                            <w:rPr>
                              <w:rFonts w:ascii="Cambria Math" w:eastAsiaTheme="minorEastAsia" w:hAnsi="Cambria Math" w:cs="Times New Roman"/>
                              <w:szCs w:val="24"/>
                            </w:rPr>
                            <m:t>10</m:t>
                          </m:r>
                        </m:sub>
                      </m:sSub>
                      <m:r>
                        <w:rPr>
                          <w:rFonts w:ascii="Cambria Math" w:eastAsiaTheme="minorEastAsia" w:hAnsi="Cambria Math" w:cs="Times New Roman"/>
                          <w:szCs w:val="24"/>
                        </w:rPr>
                        <m:t>(1+</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i</m:t>
                          </m:r>
                        </m:den>
                      </m:f>
                      <m:r>
                        <w:rPr>
                          <w:rFonts w:ascii="Cambria Math" w:eastAsiaTheme="minorEastAsia" w:hAnsi="Cambria Math" w:cs="Times New Roman"/>
                          <w:szCs w:val="24"/>
                        </w:rPr>
                        <m:t>)</m:t>
                      </m:r>
                    </m:e>
                  </m:func>
                  <m:r>
                    <w:rPr>
                      <w:rFonts w:ascii="Cambria Math" w:eastAsiaTheme="minorEastAsia" w:hAnsi="Cambria Math" w:cs="Times New Roman"/>
                      <w:szCs w:val="24"/>
                    </w:rPr>
                    <m:t>]</m:t>
                  </m:r>
                </m:e>
              </m:nary>
            </m:e>
          </m:rad>
        </m:oMath>
      </m:oMathPara>
    </w:p>
    <w:p w:rsidR="00AE181D" w:rsidRPr="004644B3" w:rsidRDefault="00C476E5" w:rsidP="004A695E">
      <w:pPr>
        <w:spacing w:after="120" w:line="240" w:lineRule="auto"/>
        <w:jc w:val="both"/>
        <w:rPr>
          <w:rFonts w:eastAsiaTheme="minorEastAsia" w:cs="Times New Roman"/>
          <w:szCs w:val="24"/>
        </w:rPr>
      </w:pPr>
      <w:r>
        <w:rPr>
          <w:rFonts w:eastAsiaTheme="minorEastAsia" w:cs="Times New Roman"/>
          <w:szCs w:val="24"/>
        </w:rPr>
        <w:t xml:space="preserve">In </w:t>
      </w:r>
      <w:r w:rsidR="005969B8">
        <w:rPr>
          <w:rFonts w:eastAsiaTheme="minorEastAsia" w:cs="Times New Roman"/>
          <w:szCs w:val="24"/>
        </w:rPr>
        <w:t>table 1</w:t>
      </w:r>
      <w:r>
        <w:rPr>
          <w:rFonts w:eastAsiaTheme="minorEastAsia" w:cs="Times New Roman"/>
          <w:szCs w:val="24"/>
        </w:rPr>
        <w:t xml:space="preserve">, </w:t>
      </w:r>
      <w:r w:rsidR="00AE181D" w:rsidRPr="004644B3">
        <w:rPr>
          <w:rFonts w:eastAsiaTheme="minorEastAsia" w:cs="Times New Roman"/>
          <w:szCs w:val="24"/>
        </w:rPr>
        <w:t xml:space="preserve">α is the level of significance of the test, and if the observed value of the test statistics is greater than the values on the table, then it is decided that the data do not obey the Benford’s law in given level of significance. </w:t>
      </w:r>
    </w:p>
    <w:p w:rsidR="00AE181D" w:rsidRPr="004644B3" w:rsidRDefault="00AE181D" w:rsidP="004A695E">
      <w:pPr>
        <w:spacing w:after="120" w:line="240" w:lineRule="auto"/>
        <w:jc w:val="both"/>
        <w:rPr>
          <w:rFonts w:eastAsiaTheme="minorEastAsia" w:cs="Times New Roman"/>
          <w:szCs w:val="24"/>
        </w:rPr>
      </w:pPr>
    </w:p>
    <w:p w:rsidR="00AE181D" w:rsidRDefault="00AE181D" w:rsidP="005262F0">
      <w:pPr>
        <w:pStyle w:val="ListParagraph"/>
        <w:numPr>
          <w:ilvl w:val="0"/>
          <w:numId w:val="2"/>
        </w:numPr>
        <w:spacing w:after="120" w:line="240" w:lineRule="auto"/>
        <w:jc w:val="both"/>
        <w:rPr>
          <w:rFonts w:cs="Times New Roman"/>
          <w:b/>
          <w:bCs/>
          <w:sz w:val="26"/>
          <w:szCs w:val="26"/>
        </w:rPr>
      </w:pPr>
      <w:r w:rsidRPr="003A1A5D">
        <w:rPr>
          <w:rFonts w:cs="Times New Roman"/>
          <w:b/>
          <w:bCs/>
          <w:sz w:val="26"/>
          <w:szCs w:val="26"/>
        </w:rPr>
        <w:t xml:space="preserve">Results and discussion </w:t>
      </w:r>
    </w:p>
    <w:p w:rsidR="009E1D51" w:rsidRPr="009E1D51" w:rsidRDefault="009E1D51" w:rsidP="009E1D51">
      <w:pPr>
        <w:spacing w:after="120" w:line="240" w:lineRule="auto"/>
        <w:jc w:val="both"/>
        <w:rPr>
          <w:rFonts w:cs="Times New Roman"/>
          <w:b/>
          <w:bCs/>
          <w:sz w:val="26"/>
          <w:szCs w:val="26"/>
        </w:rPr>
      </w:pPr>
    </w:p>
    <w:p w:rsidR="00AE181D" w:rsidRPr="003A1A5D" w:rsidRDefault="00AE181D" w:rsidP="004A695E">
      <w:pPr>
        <w:pStyle w:val="ListParagraph"/>
        <w:numPr>
          <w:ilvl w:val="1"/>
          <w:numId w:val="2"/>
        </w:numPr>
        <w:spacing w:after="120" w:line="240" w:lineRule="auto"/>
        <w:jc w:val="both"/>
        <w:rPr>
          <w:rFonts w:cs="Times New Roman"/>
          <w:b/>
          <w:bCs/>
          <w:sz w:val="26"/>
          <w:szCs w:val="26"/>
        </w:rPr>
      </w:pPr>
      <w:r w:rsidRPr="003A1A5D">
        <w:rPr>
          <w:rFonts w:cs="Times New Roman"/>
          <w:b/>
          <w:bCs/>
          <w:sz w:val="26"/>
          <w:szCs w:val="26"/>
        </w:rPr>
        <w:t>. Testing of disaster data</w:t>
      </w:r>
    </w:p>
    <w:p w:rsidR="00AE181D" w:rsidRPr="004644B3" w:rsidRDefault="00AE181D" w:rsidP="004A695E">
      <w:pPr>
        <w:spacing w:after="120"/>
        <w:jc w:val="both"/>
        <w:rPr>
          <w:rFonts w:cs="Times New Roman"/>
          <w:szCs w:val="24"/>
        </w:rPr>
      </w:pPr>
      <w:r w:rsidRPr="004644B3">
        <w:rPr>
          <w:rFonts w:cs="Times New Roman"/>
          <w:szCs w:val="24"/>
        </w:rPr>
        <w:lastRenderedPageBreak/>
        <w:t xml:space="preserve">The studied dataset contains a total of 193 severe floods from all over the world, spanning more than a millennium, while a total of 197 significant wars have been considered. Included are both World War I and II, Gallic wars, Crimean War, Crusades, Vietnam War, Napoleonic Wars, and so on. </w:t>
      </w:r>
      <w:r w:rsidRPr="004644B3">
        <w:rPr>
          <w:rFonts w:cs="Times New Roman"/>
          <w:szCs w:val="24"/>
        </w:rPr>
        <w:lastRenderedPageBreak/>
        <w:t xml:space="preserve">Also, 190 cases of floods and 1538 cases of different accidents from all over the world were used in the analysis. The result is shown in table </w:t>
      </w:r>
      <w:r w:rsidR="005969B8">
        <w:rPr>
          <w:rFonts w:cs="Times New Roman"/>
          <w:szCs w:val="24"/>
        </w:rPr>
        <w:t>2</w:t>
      </w:r>
      <w:r w:rsidRPr="004644B3">
        <w:rPr>
          <w:rFonts w:cs="Times New Roman"/>
          <w:szCs w:val="24"/>
        </w:rPr>
        <w:t xml:space="preserve">. </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The table below and the succeeding plot summarize the result.   </w:t>
      </w:r>
    </w:p>
    <w:p w:rsidR="005262F0" w:rsidRDefault="005262F0" w:rsidP="004A695E">
      <w:pPr>
        <w:spacing w:after="120" w:line="240" w:lineRule="auto"/>
        <w:jc w:val="both"/>
        <w:rPr>
          <w:rFonts w:cs="Times New Roman"/>
          <w:b/>
          <w:bCs/>
          <w:szCs w:val="24"/>
        </w:rPr>
        <w:sectPr w:rsidR="005262F0" w:rsidSect="00A6735B">
          <w:type w:val="continuous"/>
          <w:pgSz w:w="12240" w:h="15840"/>
          <w:pgMar w:top="1440" w:right="1440" w:bottom="1440" w:left="1440" w:header="720" w:footer="720" w:gutter="0"/>
          <w:cols w:num="2" w:space="432"/>
          <w:docGrid w:linePitch="360"/>
        </w:sectPr>
      </w:pPr>
    </w:p>
    <w:p w:rsidR="00AE181D" w:rsidRPr="004644B3" w:rsidRDefault="008A2EF4" w:rsidP="004A695E">
      <w:pPr>
        <w:spacing w:after="120" w:line="240" w:lineRule="auto"/>
        <w:jc w:val="both"/>
        <w:rPr>
          <w:rFonts w:cs="Times New Roman"/>
          <w:b/>
          <w:bCs/>
          <w:szCs w:val="24"/>
        </w:rPr>
      </w:pPr>
      <w:r>
        <w:rPr>
          <w:rFonts w:cs="Times New Roman"/>
          <w:b/>
          <w:bCs/>
          <w:szCs w:val="24"/>
        </w:rPr>
        <w:lastRenderedPageBreak/>
        <w:t xml:space="preserve">Table </w:t>
      </w:r>
      <w:r w:rsidR="0042236E">
        <w:rPr>
          <w:rFonts w:cs="Times New Roman"/>
          <w:b/>
          <w:bCs/>
          <w:szCs w:val="24"/>
        </w:rPr>
        <w:t>2</w:t>
      </w:r>
      <w:r w:rsidR="00AE181D" w:rsidRPr="004644B3">
        <w:rPr>
          <w:rFonts w:cs="Times New Roman"/>
          <w:b/>
          <w:bCs/>
          <w:szCs w:val="24"/>
        </w:rPr>
        <w:t xml:space="preserve"> </w:t>
      </w:r>
      <w:r w:rsidR="00AE181D" w:rsidRPr="004644B3">
        <w:rPr>
          <w:rFonts w:cs="Times New Roman"/>
          <w:szCs w:val="24"/>
        </w:rPr>
        <w:t>Summary of disaster death tolls with expected and observed frequencies of numbers starting with digits 1 through 9.</w:t>
      </w:r>
      <w:r w:rsidR="00AE181D" w:rsidRPr="004644B3">
        <w:rPr>
          <w:rFonts w:cs="Times New Roman"/>
          <w:b/>
          <w:bCs/>
          <w:szCs w:val="24"/>
        </w:rPr>
        <w:t xml:space="preserve"> </w:t>
      </w:r>
    </w:p>
    <w:p w:rsidR="00A470B3" w:rsidRDefault="00A470B3" w:rsidP="004A695E">
      <w:pPr>
        <w:spacing w:after="120"/>
        <w:jc w:val="both"/>
        <w:rPr>
          <w:rFonts w:cs="Times New Roman"/>
          <w:szCs w:val="24"/>
        </w:rPr>
        <w:sectPr w:rsidR="00A470B3" w:rsidSect="0019456A">
          <w:type w:val="continuous"/>
          <w:pgSz w:w="12240" w:h="15840"/>
          <w:pgMar w:top="1440" w:right="1440" w:bottom="1440" w:left="1440" w:header="720" w:footer="720" w:gutter="0"/>
          <w:cols w:space="432"/>
          <w:docGrid w:linePitch="360"/>
        </w:sectPr>
      </w:pPr>
    </w:p>
    <w:tbl>
      <w:tblPr>
        <w:tblStyle w:val="TableGrid"/>
        <w:tblW w:w="0" w:type="auto"/>
        <w:tblLook w:val="04A0" w:firstRow="1" w:lastRow="0" w:firstColumn="1" w:lastColumn="0" w:noHBand="0" w:noVBand="1"/>
      </w:tblPr>
      <w:tblGrid>
        <w:gridCol w:w="1063"/>
        <w:gridCol w:w="1914"/>
        <w:gridCol w:w="1496"/>
        <w:gridCol w:w="1900"/>
        <w:gridCol w:w="1496"/>
        <w:gridCol w:w="1707"/>
      </w:tblGrid>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lastRenderedPageBreak/>
              <w:t>Digit</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Expected percentage (by Benford’s Law, %)</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Expected percentage</w:t>
            </w:r>
          </w:p>
          <w:p w:rsidR="00AE181D" w:rsidRPr="004644B3" w:rsidRDefault="00AE181D" w:rsidP="004A695E">
            <w:pPr>
              <w:spacing w:after="120"/>
              <w:jc w:val="both"/>
              <w:rPr>
                <w:rFonts w:cs="Times New Roman"/>
                <w:szCs w:val="24"/>
              </w:rPr>
            </w:pPr>
            <w:r w:rsidRPr="004644B3">
              <w:rPr>
                <w:rFonts w:cs="Times New Roman"/>
                <w:szCs w:val="24"/>
              </w:rPr>
              <w:t>(Floods, %)</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Expected percentage</w:t>
            </w:r>
          </w:p>
          <w:p w:rsidR="00AE181D" w:rsidRPr="004644B3" w:rsidRDefault="00AE181D" w:rsidP="004A695E">
            <w:pPr>
              <w:spacing w:after="120"/>
              <w:jc w:val="both"/>
              <w:rPr>
                <w:rFonts w:cs="Times New Roman"/>
                <w:szCs w:val="24"/>
              </w:rPr>
            </w:pPr>
            <w:r w:rsidRPr="004644B3">
              <w:rPr>
                <w:rFonts w:cs="Times New Roman"/>
                <w:szCs w:val="24"/>
              </w:rPr>
              <w:t>(Earthquakes, %)</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Expected percentage</w:t>
            </w:r>
          </w:p>
          <w:p w:rsidR="00AE181D" w:rsidRPr="004644B3" w:rsidRDefault="00AE181D" w:rsidP="004A695E">
            <w:pPr>
              <w:spacing w:after="120"/>
              <w:jc w:val="both"/>
              <w:rPr>
                <w:rFonts w:cs="Times New Roman"/>
                <w:szCs w:val="24"/>
              </w:rPr>
            </w:pPr>
            <w:r w:rsidRPr="004644B3">
              <w:rPr>
                <w:rFonts w:cs="Times New Roman"/>
                <w:szCs w:val="24"/>
              </w:rPr>
              <w:t>(Wars, %)</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Expected percentage</w:t>
            </w:r>
          </w:p>
          <w:p w:rsidR="00AE181D" w:rsidRPr="004644B3" w:rsidRDefault="00AE181D" w:rsidP="004A695E">
            <w:pPr>
              <w:spacing w:after="120"/>
              <w:jc w:val="both"/>
              <w:rPr>
                <w:rFonts w:cs="Times New Roman"/>
                <w:szCs w:val="24"/>
              </w:rPr>
            </w:pPr>
            <w:r w:rsidRPr="004644B3">
              <w:rPr>
                <w:rFonts w:cs="Times New Roman"/>
                <w:szCs w:val="24"/>
              </w:rPr>
              <w:t>(Accidents, %)</w:t>
            </w:r>
          </w:p>
        </w:tc>
      </w:tr>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t>1</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30.1</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26.42</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26.32</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35.53</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35.7</w:t>
            </w:r>
          </w:p>
        </w:tc>
      </w:tr>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t>2</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17.61</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22.8</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20.53</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16.75</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17.88</w:t>
            </w:r>
          </w:p>
        </w:tc>
      </w:tr>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t>3</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12.49</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15.03</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14.21</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9.64</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10.4</w:t>
            </w:r>
          </w:p>
        </w:tc>
      </w:tr>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t>4</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9.69</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10.36</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8.95</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9.64</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6.89</w:t>
            </w:r>
          </w:p>
        </w:tc>
      </w:tr>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t>5</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7.92</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6.74</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8.42</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7.11</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7.09</w:t>
            </w:r>
          </w:p>
        </w:tc>
      </w:tr>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t>6</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6.69</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4.15</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7.37</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4.57</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7.15</w:t>
            </w:r>
          </w:p>
        </w:tc>
      </w:tr>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t>7</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5.8</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3.63</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5.26</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5.58</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5.53</w:t>
            </w:r>
          </w:p>
        </w:tc>
      </w:tr>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t>8</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5.12</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6.74</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5.26</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5.58</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4.62</w:t>
            </w:r>
          </w:p>
        </w:tc>
      </w:tr>
      <w:tr w:rsidR="00AE181D" w:rsidRPr="004644B3" w:rsidTr="00195F8D">
        <w:tc>
          <w:tcPr>
            <w:tcW w:w="1098" w:type="dxa"/>
          </w:tcPr>
          <w:p w:rsidR="00AE181D" w:rsidRPr="004644B3" w:rsidRDefault="00AE181D" w:rsidP="004A695E">
            <w:pPr>
              <w:spacing w:after="120"/>
              <w:jc w:val="both"/>
              <w:rPr>
                <w:rFonts w:cs="Times New Roman"/>
                <w:szCs w:val="24"/>
              </w:rPr>
            </w:pPr>
            <w:r w:rsidRPr="004644B3">
              <w:rPr>
                <w:rFonts w:cs="Times New Roman"/>
                <w:szCs w:val="24"/>
              </w:rPr>
              <w:t>9</w:t>
            </w:r>
          </w:p>
        </w:tc>
        <w:tc>
          <w:tcPr>
            <w:tcW w:w="1980" w:type="dxa"/>
          </w:tcPr>
          <w:p w:rsidR="00AE181D" w:rsidRPr="004644B3" w:rsidRDefault="00AE181D" w:rsidP="004A695E">
            <w:pPr>
              <w:spacing w:after="120"/>
              <w:jc w:val="both"/>
              <w:rPr>
                <w:rFonts w:cs="Times New Roman"/>
                <w:szCs w:val="24"/>
              </w:rPr>
            </w:pPr>
            <w:r w:rsidRPr="004644B3">
              <w:rPr>
                <w:rFonts w:cs="Times New Roman"/>
                <w:szCs w:val="24"/>
              </w:rPr>
              <w:t>4.58</w:t>
            </w: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4.15</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3.68</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5.58</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4.75</w:t>
            </w:r>
          </w:p>
        </w:tc>
      </w:tr>
      <w:tr w:rsidR="00AE181D" w:rsidRPr="004644B3" w:rsidTr="00195F8D">
        <w:tc>
          <w:tcPr>
            <w:tcW w:w="1098" w:type="dxa"/>
          </w:tcPr>
          <w:p w:rsidR="00AE181D" w:rsidRPr="004644B3" w:rsidRDefault="00AE181D" w:rsidP="004A695E">
            <w:pPr>
              <w:spacing w:after="120"/>
              <w:jc w:val="both"/>
              <w:rPr>
                <w:rFonts w:cs="Times New Roman"/>
                <w:szCs w:val="24"/>
              </w:rPr>
            </w:pPr>
          </w:p>
        </w:tc>
        <w:tc>
          <w:tcPr>
            <w:tcW w:w="1980" w:type="dxa"/>
          </w:tcPr>
          <w:p w:rsidR="00AE181D" w:rsidRPr="004644B3" w:rsidRDefault="00AE181D" w:rsidP="004A695E">
            <w:pPr>
              <w:spacing w:after="120"/>
              <w:jc w:val="both"/>
              <w:rPr>
                <w:rFonts w:cs="Times New Roman"/>
                <w:szCs w:val="24"/>
              </w:rPr>
            </w:pPr>
          </w:p>
        </w:tc>
        <w:tc>
          <w:tcPr>
            <w:tcW w:w="1440" w:type="dxa"/>
          </w:tcPr>
          <w:p w:rsidR="00AE181D" w:rsidRPr="004644B3" w:rsidRDefault="00AE181D" w:rsidP="004A695E">
            <w:pPr>
              <w:spacing w:after="120"/>
              <w:jc w:val="both"/>
              <w:rPr>
                <w:rFonts w:cs="Times New Roman"/>
                <w:szCs w:val="24"/>
              </w:rPr>
            </w:pPr>
            <w:r w:rsidRPr="004644B3">
              <w:rPr>
                <w:rFonts w:cs="Times New Roman"/>
                <w:szCs w:val="24"/>
              </w:rPr>
              <w:t>Total observations: 193</w:t>
            </w:r>
          </w:p>
        </w:tc>
        <w:tc>
          <w:tcPr>
            <w:tcW w:w="1936" w:type="dxa"/>
          </w:tcPr>
          <w:p w:rsidR="00AE181D" w:rsidRPr="004644B3" w:rsidRDefault="00AE181D" w:rsidP="004A695E">
            <w:pPr>
              <w:spacing w:after="120"/>
              <w:jc w:val="both"/>
              <w:rPr>
                <w:rFonts w:cs="Times New Roman"/>
                <w:szCs w:val="24"/>
              </w:rPr>
            </w:pPr>
            <w:r w:rsidRPr="004644B3">
              <w:rPr>
                <w:rFonts w:cs="Times New Roman"/>
                <w:szCs w:val="24"/>
              </w:rPr>
              <w:t>Total observations: 190</w:t>
            </w:r>
          </w:p>
        </w:tc>
        <w:tc>
          <w:tcPr>
            <w:tcW w:w="1394" w:type="dxa"/>
          </w:tcPr>
          <w:p w:rsidR="00AE181D" w:rsidRPr="004644B3" w:rsidRDefault="00AE181D" w:rsidP="004A695E">
            <w:pPr>
              <w:spacing w:after="120"/>
              <w:jc w:val="both"/>
              <w:rPr>
                <w:rFonts w:cs="Times New Roman"/>
                <w:szCs w:val="24"/>
              </w:rPr>
            </w:pPr>
            <w:r w:rsidRPr="004644B3">
              <w:rPr>
                <w:rFonts w:cs="Times New Roman"/>
                <w:szCs w:val="24"/>
              </w:rPr>
              <w:t>Total observations: 197</w:t>
            </w:r>
          </w:p>
        </w:tc>
        <w:tc>
          <w:tcPr>
            <w:tcW w:w="1728" w:type="dxa"/>
          </w:tcPr>
          <w:p w:rsidR="00AE181D" w:rsidRPr="004644B3" w:rsidRDefault="00AE181D" w:rsidP="004A695E">
            <w:pPr>
              <w:spacing w:after="120"/>
              <w:jc w:val="both"/>
              <w:rPr>
                <w:rFonts w:cs="Times New Roman"/>
                <w:szCs w:val="24"/>
              </w:rPr>
            </w:pPr>
            <w:r w:rsidRPr="004644B3">
              <w:rPr>
                <w:rFonts w:cs="Times New Roman"/>
                <w:szCs w:val="24"/>
              </w:rPr>
              <w:t>Total observations: 1538</w:t>
            </w:r>
          </w:p>
        </w:tc>
      </w:tr>
    </w:tbl>
    <w:p w:rsidR="00A470B3" w:rsidRDefault="00A470B3" w:rsidP="004A695E">
      <w:pPr>
        <w:spacing w:after="120" w:line="240" w:lineRule="auto"/>
        <w:jc w:val="both"/>
        <w:rPr>
          <w:rFonts w:cs="Times New Roman"/>
          <w:szCs w:val="24"/>
        </w:rPr>
        <w:sectPr w:rsidR="00A470B3" w:rsidSect="0019456A">
          <w:type w:val="continuous"/>
          <w:pgSz w:w="12240" w:h="15840"/>
          <w:pgMar w:top="1440" w:right="1440" w:bottom="1440" w:left="1440" w:header="720" w:footer="720" w:gutter="0"/>
          <w:cols w:space="432"/>
          <w:docGrid w:linePitch="360"/>
        </w:sectPr>
      </w:pPr>
    </w:p>
    <w:p w:rsidR="005262F0" w:rsidRDefault="005262F0" w:rsidP="004A695E">
      <w:pPr>
        <w:spacing w:after="120" w:line="240" w:lineRule="auto"/>
        <w:jc w:val="both"/>
        <w:rPr>
          <w:rFonts w:cs="Times New Roman"/>
          <w:szCs w:val="24"/>
        </w:rPr>
      </w:pPr>
    </w:p>
    <w:p w:rsidR="00C71490" w:rsidRDefault="00AE181D" w:rsidP="004A695E">
      <w:pPr>
        <w:spacing w:after="120" w:line="240" w:lineRule="auto"/>
        <w:jc w:val="both"/>
        <w:rPr>
          <w:rFonts w:cs="Times New Roman"/>
          <w:szCs w:val="24"/>
        </w:rPr>
      </w:pPr>
      <w:r w:rsidRPr="009E1D51">
        <w:rPr>
          <w:rFonts w:cs="Times New Roman"/>
          <w:b/>
          <w:bCs/>
          <w:szCs w:val="24"/>
        </w:rPr>
        <w:t>Figure 1</w:t>
      </w:r>
      <w:r w:rsidRPr="004644B3">
        <w:rPr>
          <w:rFonts w:cs="Times New Roman"/>
          <w:szCs w:val="24"/>
        </w:rPr>
        <w:t xml:space="preserve"> as well as table</w:t>
      </w:r>
      <w:r w:rsidR="005969B8">
        <w:rPr>
          <w:rFonts w:cs="Times New Roman"/>
          <w:szCs w:val="24"/>
        </w:rPr>
        <w:t xml:space="preserve"> 2</w:t>
      </w:r>
      <w:r w:rsidRPr="004644B3">
        <w:rPr>
          <w:rFonts w:cs="Times New Roman"/>
          <w:szCs w:val="24"/>
        </w:rPr>
        <w:t xml:space="preserve"> and </w:t>
      </w:r>
      <w:r w:rsidR="005969B8">
        <w:rPr>
          <w:rFonts w:cs="Times New Roman"/>
          <w:szCs w:val="24"/>
        </w:rPr>
        <w:t>3</w:t>
      </w:r>
      <w:r w:rsidRPr="004644B3">
        <w:rPr>
          <w:rFonts w:cs="Times New Roman"/>
          <w:szCs w:val="24"/>
        </w:rPr>
        <w:t xml:space="preserve"> </w:t>
      </w:r>
      <w:proofErr w:type="gramStart"/>
      <w:r w:rsidRPr="004644B3">
        <w:rPr>
          <w:rFonts w:cs="Times New Roman"/>
          <w:szCs w:val="24"/>
        </w:rPr>
        <w:t>suggest</w:t>
      </w:r>
      <w:proofErr w:type="gramEnd"/>
      <w:r w:rsidRPr="004644B3">
        <w:rPr>
          <w:rFonts w:cs="Times New Roman"/>
          <w:szCs w:val="24"/>
        </w:rPr>
        <w:t xml:space="preserve"> a strong agreement of the four studied data sets with Benford’s law. While the percentages of the digit 1 for floods and earthquakes are 26.42 and 26.32, both being less than the corresponding expected frequencies, the percentages of wars and accidents data sets for the same digit (1) exceed what is stated by Benford’s law, being 35.53 and 35.7, respectively i.e. the first digit percentages exceed expected percentage by almost 5%. All data sets, however, seem to, from the graphical illustrations, satisfy t</w:t>
      </w:r>
      <w:r w:rsidR="00C71490">
        <w:rPr>
          <w:rFonts w:cs="Times New Roman"/>
          <w:szCs w:val="24"/>
        </w:rPr>
        <w:t xml:space="preserve">he law. The </w:t>
      </w:r>
    </w:p>
    <w:p w:rsidR="00C71490" w:rsidRDefault="00C71490" w:rsidP="004A695E">
      <w:pPr>
        <w:spacing w:after="120" w:line="240" w:lineRule="auto"/>
        <w:jc w:val="both"/>
        <w:rPr>
          <w:rFonts w:cs="Times New Roman"/>
          <w:szCs w:val="24"/>
        </w:rPr>
      </w:pPr>
    </w:p>
    <w:p w:rsidR="00AE181D" w:rsidRPr="004644B3" w:rsidRDefault="00AE181D" w:rsidP="004A695E">
      <w:pPr>
        <w:spacing w:after="120" w:line="240" w:lineRule="auto"/>
        <w:jc w:val="both"/>
        <w:rPr>
          <w:rFonts w:cs="Times New Roman"/>
          <w:szCs w:val="24"/>
        </w:rPr>
      </w:pPr>
      <w:proofErr w:type="gramStart"/>
      <w:r w:rsidRPr="004644B3">
        <w:rPr>
          <w:rFonts w:cs="Times New Roman"/>
          <w:szCs w:val="24"/>
        </w:rPr>
        <w:t>assumption</w:t>
      </w:r>
      <w:proofErr w:type="gramEnd"/>
      <w:r w:rsidRPr="004644B3">
        <w:rPr>
          <w:rFonts w:cs="Times New Roman"/>
          <w:szCs w:val="24"/>
        </w:rPr>
        <w:t xml:space="preserve"> is confirmed by the p-values for all data sets except for accidents, the p-value being almost 0. For this data set, Pearson’s chi-squarest test as well as tests based on </w:t>
      </w:r>
      <w:proofErr w:type="spellStart"/>
      <w:r w:rsidRPr="004644B3">
        <w:rPr>
          <w:rFonts w:cs="Times New Roman"/>
          <w:szCs w:val="24"/>
        </w:rPr>
        <w:t>Leemis</w:t>
      </w:r>
      <w:proofErr w:type="spellEnd"/>
      <w:r w:rsidRPr="004644B3">
        <w:rPr>
          <w:rFonts w:cs="Times New Roman"/>
          <w:szCs w:val="24"/>
        </w:rPr>
        <w:t>’ m and Cho-</w:t>
      </w:r>
      <w:proofErr w:type="gramStart"/>
      <w:r w:rsidRPr="004644B3">
        <w:rPr>
          <w:rFonts w:cs="Times New Roman"/>
          <w:szCs w:val="24"/>
        </w:rPr>
        <w:t>Gaines’ d</w:t>
      </w:r>
      <w:proofErr w:type="gramEnd"/>
      <w:r w:rsidRPr="004644B3">
        <w:rPr>
          <w:rFonts w:cs="Times New Roman"/>
          <w:szCs w:val="24"/>
        </w:rPr>
        <w:t xml:space="preserve"> differ from the graphical connotation. This contradiction might have resulted from the fact that although we have covered many different types of accidents, many other types remain to be explored. Still, the pattern of distribution of number to different digits conforms to Benford’s distribution. All other chi-squared p-values are well above 0.01, being no less </w:t>
      </w:r>
      <w:r w:rsidRPr="004644B3">
        <w:rPr>
          <w:rFonts w:cs="Times New Roman"/>
          <w:szCs w:val="24"/>
        </w:rPr>
        <w:lastRenderedPageBreak/>
        <w:t xml:space="preserve">than 0.28 and as high as 0.93, indicating clear </w:t>
      </w:r>
      <w:r w:rsidR="00F4187A">
        <w:rPr>
          <w:rFonts w:cs="Times New Roman"/>
          <w:szCs w:val="24"/>
        </w:rPr>
        <w:t xml:space="preserve">and strong </w:t>
      </w:r>
      <w:r w:rsidRPr="004644B3">
        <w:rPr>
          <w:rFonts w:cs="Times New Roman"/>
          <w:szCs w:val="24"/>
        </w:rPr>
        <w:t xml:space="preserve">conformity with Benford’s law. Also, test results from </w:t>
      </w:r>
      <w:proofErr w:type="spellStart"/>
      <w:r w:rsidRPr="004644B3">
        <w:rPr>
          <w:rFonts w:cs="Times New Roman"/>
          <w:szCs w:val="24"/>
        </w:rPr>
        <w:t>Leemis</w:t>
      </w:r>
      <w:proofErr w:type="spellEnd"/>
      <w:r w:rsidRPr="004644B3">
        <w:rPr>
          <w:rFonts w:cs="Times New Roman"/>
          <w:szCs w:val="24"/>
        </w:rPr>
        <w:t>’ m and Cho-</w:t>
      </w:r>
      <w:proofErr w:type="gramStart"/>
      <w:r w:rsidRPr="004644B3">
        <w:rPr>
          <w:rFonts w:cs="Times New Roman"/>
          <w:szCs w:val="24"/>
        </w:rPr>
        <w:lastRenderedPageBreak/>
        <w:t>Gaines’ d</w:t>
      </w:r>
      <w:proofErr w:type="gramEnd"/>
      <w:r w:rsidRPr="004644B3">
        <w:rPr>
          <w:rFonts w:cs="Times New Roman"/>
          <w:szCs w:val="24"/>
        </w:rPr>
        <w:t xml:space="preserve"> provide strong evidence in favor of conformity of floods, wars, and earthquakes death tolls with Benford’s law.  </w:t>
      </w:r>
    </w:p>
    <w:p w:rsidR="003A1A5D" w:rsidRDefault="003A1A5D" w:rsidP="004A695E">
      <w:pPr>
        <w:spacing w:after="120" w:line="240" w:lineRule="auto"/>
        <w:jc w:val="both"/>
        <w:rPr>
          <w:rFonts w:cs="Times New Roman"/>
          <w:szCs w:val="24"/>
        </w:rPr>
        <w:sectPr w:rsidR="003A1A5D" w:rsidSect="00A6735B">
          <w:type w:val="continuous"/>
          <w:pgSz w:w="12240" w:h="15840"/>
          <w:pgMar w:top="1440" w:right="1440" w:bottom="1440" w:left="1440" w:header="720" w:footer="720" w:gutter="0"/>
          <w:cols w:num="2" w:space="432"/>
          <w:docGrid w:linePitch="360"/>
        </w:sectPr>
      </w:pPr>
    </w:p>
    <w:p w:rsidR="003A1A5D" w:rsidRDefault="00AE181D" w:rsidP="004A695E">
      <w:pPr>
        <w:spacing w:after="120" w:line="240" w:lineRule="auto"/>
        <w:jc w:val="both"/>
        <w:rPr>
          <w:rFonts w:cs="Times New Roman"/>
          <w:szCs w:val="24"/>
        </w:rPr>
        <w:sectPr w:rsidR="003A1A5D" w:rsidSect="00DC1707">
          <w:type w:val="continuous"/>
          <w:pgSz w:w="12240" w:h="15840"/>
          <w:pgMar w:top="1440" w:right="1440" w:bottom="1440" w:left="1440" w:header="720" w:footer="720" w:gutter="0"/>
          <w:cols w:space="432"/>
          <w:docGrid w:linePitch="360"/>
        </w:sectPr>
      </w:pPr>
      <w:r w:rsidRPr="004644B3">
        <w:rPr>
          <w:rFonts w:cs="Times New Roman"/>
          <w:noProof/>
          <w:szCs w:val="24"/>
        </w:rPr>
        <w:lastRenderedPageBreak/>
        <w:drawing>
          <wp:inline distT="0" distB="0" distL="0" distR="0" wp14:anchorId="0CE00202" wp14:editId="08B9C1D9">
            <wp:extent cx="5943600" cy="425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_disaster_ijdrs.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4255135"/>
                    </a:xfrm>
                    <a:prstGeom prst="rect">
                      <a:avLst/>
                    </a:prstGeom>
                  </pic:spPr>
                </pic:pic>
              </a:graphicData>
            </a:graphic>
          </wp:inline>
        </w:drawing>
      </w:r>
    </w:p>
    <w:p w:rsidR="00CA3963" w:rsidRDefault="00F372E0" w:rsidP="00DC1707">
      <w:pPr>
        <w:spacing w:after="120" w:line="240" w:lineRule="auto"/>
        <w:rPr>
          <w:rFonts w:cs="Times New Roman"/>
          <w:szCs w:val="24"/>
        </w:rPr>
        <w:sectPr w:rsidR="00CA3963" w:rsidSect="00DC1707">
          <w:type w:val="continuous"/>
          <w:pgSz w:w="12240" w:h="15840"/>
          <w:pgMar w:top="1440" w:right="1440" w:bottom="1440" w:left="1440" w:header="720" w:footer="720" w:gutter="0"/>
          <w:cols w:space="432"/>
          <w:docGrid w:linePitch="360"/>
        </w:sectPr>
      </w:pPr>
      <w:r>
        <w:rPr>
          <w:rFonts w:cs="Times New Roman"/>
          <w:b/>
          <w:bCs/>
          <w:szCs w:val="24"/>
        </w:rPr>
        <w:lastRenderedPageBreak/>
        <w:t>Fig. 1</w:t>
      </w:r>
      <w:r w:rsidR="00AE181D" w:rsidRPr="004644B3">
        <w:rPr>
          <w:rFonts w:cs="Times New Roman"/>
          <w:b/>
          <w:bCs/>
          <w:szCs w:val="24"/>
        </w:rPr>
        <w:t xml:space="preserve"> Expected and empirical percentages and frequencies of numbers starting with digits one through nine for disaster death estimates. </w:t>
      </w:r>
      <w:r w:rsidR="00AE181D" w:rsidRPr="004644B3">
        <w:rPr>
          <w:rFonts w:cs="Times New Roman"/>
          <w:szCs w:val="24"/>
        </w:rPr>
        <w:t xml:space="preserve">The red points and lines represent the observed percentages of numbers with each </w:t>
      </w:r>
      <w:proofErr w:type="gramStart"/>
      <w:r w:rsidR="00AE181D" w:rsidRPr="004644B3">
        <w:rPr>
          <w:rFonts w:cs="Times New Roman"/>
          <w:szCs w:val="24"/>
        </w:rPr>
        <w:t>digits</w:t>
      </w:r>
      <w:proofErr w:type="gramEnd"/>
      <w:r w:rsidR="00AE181D" w:rsidRPr="004644B3">
        <w:rPr>
          <w:rFonts w:cs="Times New Roman"/>
          <w:szCs w:val="24"/>
        </w:rPr>
        <w:t xml:space="preserve">, </w:t>
      </w:r>
      <w:r w:rsidR="005737B1" w:rsidRPr="004644B3">
        <w:rPr>
          <w:rFonts w:cs="Times New Roman"/>
          <w:szCs w:val="24"/>
        </w:rPr>
        <w:t>while the black points and lines represent the ex</w:t>
      </w:r>
      <w:r w:rsidR="005737B1">
        <w:rPr>
          <w:rFonts w:cs="Times New Roman"/>
          <w:szCs w:val="24"/>
        </w:rPr>
        <w:t xml:space="preserve">pected and observed percentages </w:t>
      </w:r>
      <w:r w:rsidR="005737B1" w:rsidRPr="004644B3">
        <w:rPr>
          <w:rFonts w:cs="Times New Roman"/>
          <w:szCs w:val="24"/>
        </w:rPr>
        <w:t>of frequencies of numbers, resp</w:t>
      </w:r>
      <w:r w:rsidR="005737B1">
        <w:rPr>
          <w:rFonts w:cs="Times New Roman"/>
          <w:szCs w:val="24"/>
        </w:rPr>
        <w:t>ectively. X</w:t>
      </w:r>
      <w:r w:rsidR="00AE181D" w:rsidRPr="004644B3">
        <w:rPr>
          <w:rFonts w:cs="Times New Roman"/>
          <w:szCs w:val="24"/>
        </w:rPr>
        <w:t xml:space="preserve"> axis represent</w:t>
      </w:r>
      <w:r w:rsidR="005737B1">
        <w:rPr>
          <w:rFonts w:cs="Times New Roman"/>
          <w:szCs w:val="24"/>
        </w:rPr>
        <w:t>s the digits and Y</w:t>
      </w:r>
      <w:r w:rsidR="00AE181D" w:rsidRPr="004644B3">
        <w:rPr>
          <w:rFonts w:cs="Times New Roman"/>
          <w:szCs w:val="24"/>
        </w:rPr>
        <w:t xml:space="preserve"> axis refers to the percentages of frequencies of numbers, </w:t>
      </w:r>
    </w:p>
    <w:p w:rsidR="003A1A5D" w:rsidRDefault="00AE181D" w:rsidP="004A695E">
      <w:pPr>
        <w:spacing w:after="120" w:line="240" w:lineRule="auto"/>
        <w:jc w:val="both"/>
        <w:rPr>
          <w:rFonts w:cs="Times New Roman"/>
          <w:szCs w:val="24"/>
        </w:rPr>
      </w:pPr>
      <w:r w:rsidRPr="004644B3">
        <w:rPr>
          <w:rFonts w:cs="Times New Roman"/>
          <w:szCs w:val="24"/>
        </w:rPr>
        <w:lastRenderedPageBreak/>
        <w:t>T</w:t>
      </w:r>
      <w:r w:rsidR="009C7951">
        <w:rPr>
          <w:rFonts w:cs="Times New Roman"/>
          <w:szCs w:val="24"/>
        </w:rPr>
        <w:t>able 3</w:t>
      </w:r>
      <w:r w:rsidRPr="004644B3">
        <w:rPr>
          <w:rFonts w:cs="Times New Roman"/>
          <w:szCs w:val="24"/>
        </w:rPr>
        <w:t xml:space="preserve"> reveals that according to </w:t>
      </w:r>
      <w:proofErr w:type="spellStart"/>
      <w:r w:rsidRPr="004644B3">
        <w:rPr>
          <w:rFonts w:cs="Times New Roman"/>
          <w:szCs w:val="24"/>
        </w:rPr>
        <w:t>Leemis</w:t>
      </w:r>
      <w:proofErr w:type="spellEnd"/>
      <w:r w:rsidRPr="004644B3">
        <w:rPr>
          <w:rFonts w:cs="Times New Roman"/>
          <w:szCs w:val="24"/>
        </w:rPr>
        <w:t xml:space="preserve">’ m, the floods, earthquakes, and wars data sets are in strong conformity with the Benford’s law, while accidents data set is not, exactly as was suggested by the chi-squared tests. </w:t>
      </w:r>
      <w:r w:rsidR="007A468F">
        <w:rPr>
          <w:rFonts w:cs="Times New Roman"/>
          <w:szCs w:val="24"/>
        </w:rPr>
        <w:t>Also, by Cho-</w:t>
      </w:r>
      <w:proofErr w:type="gramStart"/>
      <w:r w:rsidR="007A468F">
        <w:rPr>
          <w:rFonts w:cs="Times New Roman"/>
          <w:szCs w:val="24"/>
        </w:rPr>
        <w:t xml:space="preserve">Gaines’ </w:t>
      </w:r>
      <w:r w:rsidRPr="004644B3">
        <w:rPr>
          <w:rFonts w:cs="Times New Roman"/>
          <w:szCs w:val="24"/>
        </w:rPr>
        <w:t>d</w:t>
      </w:r>
      <w:proofErr w:type="gramEnd"/>
      <w:r w:rsidRPr="004644B3">
        <w:rPr>
          <w:rFonts w:cs="Times New Roman"/>
          <w:szCs w:val="24"/>
        </w:rPr>
        <w:t xml:space="preserve"> measure, all data sets except the accidents satisfy the law. The agreement of three different tests lead us to conclude that</w:t>
      </w:r>
      <w:r w:rsidR="00720E61">
        <w:rPr>
          <w:rFonts w:cs="Times New Roman"/>
          <w:szCs w:val="24"/>
        </w:rPr>
        <w:t xml:space="preserve"> </w:t>
      </w:r>
      <w:r w:rsidRPr="004644B3">
        <w:rPr>
          <w:rFonts w:cs="Times New Roman"/>
          <w:szCs w:val="24"/>
        </w:rPr>
        <w:t xml:space="preserve">death tolls due to floods, earthquakes, as well wars can be modeled by Benford’s law, while accidents death tolls may not agree with the law for small sample size. </w:t>
      </w:r>
    </w:p>
    <w:p w:rsidR="00EF7366" w:rsidRPr="004644B3" w:rsidRDefault="00EF7366" w:rsidP="00EF7366">
      <w:pPr>
        <w:spacing w:after="120" w:line="240" w:lineRule="auto"/>
        <w:jc w:val="both"/>
        <w:rPr>
          <w:rFonts w:cs="Times New Roman"/>
          <w:szCs w:val="24"/>
        </w:rPr>
      </w:pPr>
      <w:r w:rsidRPr="004644B3">
        <w:rPr>
          <w:rFonts w:cs="Times New Roman"/>
          <w:szCs w:val="24"/>
        </w:rPr>
        <w:lastRenderedPageBreak/>
        <w:t xml:space="preserve">Thus, the findings can be applied to detect artificial anomaly or fraud in data set related to disasters. Although, we have performed the analysis only for four types of disasters, it is expected that the law will hold for other disaster as well like landslide, volcanic eruptions, tornadoes, cyclones, tsunamis etc. </w:t>
      </w:r>
    </w:p>
    <w:p w:rsidR="00AE181D" w:rsidRPr="004644B3" w:rsidRDefault="00AE181D" w:rsidP="004A695E">
      <w:pPr>
        <w:spacing w:after="120" w:line="240" w:lineRule="auto"/>
        <w:jc w:val="both"/>
        <w:rPr>
          <w:rFonts w:cs="Times New Roman"/>
          <w:szCs w:val="24"/>
        </w:rPr>
      </w:pPr>
    </w:p>
    <w:p w:rsidR="00AE181D" w:rsidRPr="004644B3" w:rsidRDefault="00AE181D" w:rsidP="004A695E">
      <w:pPr>
        <w:pStyle w:val="ListParagraph"/>
        <w:numPr>
          <w:ilvl w:val="1"/>
          <w:numId w:val="2"/>
        </w:numPr>
        <w:spacing w:after="120" w:line="240" w:lineRule="auto"/>
        <w:jc w:val="both"/>
        <w:rPr>
          <w:rFonts w:cs="Times New Roman"/>
          <w:b/>
          <w:bCs/>
          <w:szCs w:val="24"/>
        </w:rPr>
      </w:pPr>
      <w:r w:rsidRPr="004644B3">
        <w:rPr>
          <w:rFonts w:cs="Times New Roman"/>
          <w:b/>
          <w:bCs/>
          <w:szCs w:val="24"/>
        </w:rPr>
        <w:t xml:space="preserve">Testing for populations data </w:t>
      </w:r>
    </w:p>
    <w:p w:rsidR="001947E0" w:rsidRDefault="00AE181D" w:rsidP="004A695E">
      <w:pPr>
        <w:spacing w:after="120" w:line="240" w:lineRule="auto"/>
        <w:jc w:val="both"/>
        <w:rPr>
          <w:rFonts w:cs="Times New Roman"/>
          <w:szCs w:val="24"/>
        </w:rPr>
      </w:pPr>
      <w:r w:rsidRPr="004644B3">
        <w:rPr>
          <w:rFonts w:cs="Times New Roman"/>
          <w:szCs w:val="24"/>
        </w:rPr>
        <w:t xml:space="preserve">For this large-scale re-examination procedure, the world populations comprising of 263 countries and territories were considered. </w:t>
      </w:r>
    </w:p>
    <w:p w:rsidR="001947E0" w:rsidRPr="004644B3" w:rsidRDefault="001947E0" w:rsidP="001947E0">
      <w:pPr>
        <w:spacing w:after="120" w:line="240" w:lineRule="auto"/>
        <w:jc w:val="both"/>
        <w:rPr>
          <w:rFonts w:cs="Times New Roman"/>
          <w:szCs w:val="24"/>
        </w:rPr>
      </w:pPr>
      <w:r w:rsidRPr="004644B3">
        <w:rPr>
          <w:rFonts w:cs="Times New Roman"/>
          <w:b/>
          <w:bCs/>
          <w:szCs w:val="24"/>
        </w:rPr>
        <w:lastRenderedPageBreak/>
        <w:t xml:space="preserve">Table </w:t>
      </w:r>
      <w:r>
        <w:rPr>
          <w:rFonts w:cs="Times New Roman"/>
          <w:b/>
          <w:bCs/>
          <w:szCs w:val="24"/>
        </w:rPr>
        <w:t xml:space="preserve">3 </w:t>
      </w:r>
      <w:r w:rsidRPr="007F4F6E">
        <w:rPr>
          <w:rFonts w:cs="Times New Roman"/>
          <w:szCs w:val="24"/>
        </w:rPr>
        <w:t>S</w:t>
      </w:r>
      <w:r w:rsidRPr="004644B3">
        <w:rPr>
          <w:rFonts w:cs="Times New Roman"/>
          <w:szCs w:val="24"/>
        </w:rPr>
        <w:t xml:space="preserve">ummary of statistical test of conformity </w:t>
      </w:r>
    </w:p>
    <w:tbl>
      <w:tblPr>
        <w:tblStyle w:val="TableGrid"/>
        <w:tblW w:w="0" w:type="auto"/>
        <w:jc w:val="center"/>
        <w:tblLayout w:type="fixed"/>
        <w:tblLook w:val="04A0" w:firstRow="1" w:lastRow="0" w:firstColumn="1" w:lastColumn="0" w:noHBand="0" w:noVBand="1"/>
      </w:tblPr>
      <w:tblGrid>
        <w:gridCol w:w="1098"/>
        <w:gridCol w:w="900"/>
        <w:gridCol w:w="911"/>
        <w:gridCol w:w="799"/>
        <w:gridCol w:w="828"/>
      </w:tblGrid>
      <w:tr w:rsidR="001947E0" w:rsidRPr="004644B3" w:rsidTr="009C2512">
        <w:trPr>
          <w:jc w:val="center"/>
        </w:trPr>
        <w:tc>
          <w:tcPr>
            <w:tcW w:w="1098" w:type="dxa"/>
          </w:tcPr>
          <w:p w:rsidR="001947E0" w:rsidRPr="004644B3" w:rsidRDefault="001947E0" w:rsidP="009C2512">
            <w:pPr>
              <w:spacing w:after="120"/>
              <w:jc w:val="right"/>
              <w:rPr>
                <w:rFonts w:cs="Times New Roman"/>
                <w:szCs w:val="24"/>
              </w:rPr>
            </w:pPr>
            <w:r w:rsidRPr="004644B3">
              <w:rPr>
                <w:rFonts w:cs="Times New Roman"/>
                <w:noProof/>
                <w:szCs w:val="24"/>
              </w:rPr>
              <mc:AlternateContent>
                <mc:Choice Requires="wps">
                  <w:drawing>
                    <wp:anchor distT="0" distB="0" distL="114300" distR="114300" simplePos="0" relativeHeight="251665408" behindDoc="0" locked="0" layoutInCell="1" allowOverlap="1" wp14:anchorId="7260C1F4" wp14:editId="04FD938C">
                      <wp:simplePos x="0" y="0"/>
                      <wp:positionH relativeFrom="column">
                        <wp:posOffset>-95250</wp:posOffset>
                      </wp:positionH>
                      <wp:positionV relativeFrom="paragraph">
                        <wp:posOffset>-8255</wp:posOffset>
                      </wp:positionV>
                      <wp:extent cx="695325" cy="6953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695325" cy="695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65pt" to="47.2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" strokecolor="black [3213]"/>
                  </w:pict>
                </mc:Fallback>
              </mc:AlternateContent>
            </w:r>
            <w:r w:rsidRPr="004644B3">
              <w:rPr>
                <w:rFonts w:cs="Times New Roman"/>
                <w:szCs w:val="24"/>
              </w:rPr>
              <w:t xml:space="preserve">               </w:t>
            </w:r>
            <w:r>
              <w:rPr>
                <w:rFonts w:cs="Times New Roman"/>
                <w:szCs w:val="24"/>
              </w:rPr>
              <w:t xml:space="preserve">    </w:t>
            </w:r>
            <w:r w:rsidRPr="004644B3">
              <w:rPr>
                <w:rFonts w:cs="Times New Roman"/>
                <w:szCs w:val="24"/>
              </w:rPr>
              <w:t>Data</w:t>
            </w:r>
          </w:p>
          <w:p w:rsidR="001947E0" w:rsidRPr="004644B3" w:rsidRDefault="001947E0" w:rsidP="009C2512">
            <w:pPr>
              <w:spacing w:after="120"/>
              <w:rPr>
                <w:rFonts w:cs="Times New Roman"/>
                <w:szCs w:val="24"/>
              </w:rPr>
            </w:pPr>
            <w:r w:rsidRPr="004644B3">
              <w:rPr>
                <w:rFonts w:cs="Times New Roman"/>
                <w:szCs w:val="24"/>
              </w:rPr>
              <w:t xml:space="preserve">Criteria  </w:t>
            </w:r>
          </w:p>
        </w:tc>
        <w:tc>
          <w:tcPr>
            <w:tcW w:w="900" w:type="dxa"/>
          </w:tcPr>
          <w:p w:rsidR="001947E0" w:rsidRPr="004644B3" w:rsidRDefault="001947E0" w:rsidP="009C2512">
            <w:pPr>
              <w:spacing w:after="120"/>
              <w:jc w:val="both"/>
              <w:rPr>
                <w:rFonts w:cs="Times New Roman"/>
                <w:szCs w:val="24"/>
              </w:rPr>
            </w:pPr>
            <w:r w:rsidRPr="004644B3">
              <w:rPr>
                <w:rFonts w:cs="Times New Roman"/>
                <w:szCs w:val="24"/>
              </w:rPr>
              <w:t>Floods</w:t>
            </w:r>
          </w:p>
        </w:tc>
        <w:tc>
          <w:tcPr>
            <w:tcW w:w="911" w:type="dxa"/>
          </w:tcPr>
          <w:p w:rsidR="001947E0" w:rsidRPr="004644B3" w:rsidRDefault="001947E0" w:rsidP="009C2512">
            <w:pPr>
              <w:spacing w:after="120"/>
              <w:jc w:val="both"/>
              <w:rPr>
                <w:rFonts w:cs="Times New Roman"/>
                <w:szCs w:val="24"/>
              </w:rPr>
            </w:pPr>
            <w:r w:rsidRPr="004644B3">
              <w:rPr>
                <w:rFonts w:cs="Times New Roman"/>
                <w:szCs w:val="24"/>
              </w:rPr>
              <w:t>Earth</w:t>
            </w:r>
            <w:r>
              <w:rPr>
                <w:rFonts w:cs="Times New Roman"/>
                <w:szCs w:val="24"/>
              </w:rPr>
              <w:t>-</w:t>
            </w:r>
            <w:r w:rsidRPr="004644B3">
              <w:rPr>
                <w:rFonts w:cs="Times New Roman"/>
                <w:szCs w:val="24"/>
              </w:rPr>
              <w:t>quakes</w:t>
            </w:r>
          </w:p>
        </w:tc>
        <w:tc>
          <w:tcPr>
            <w:tcW w:w="799" w:type="dxa"/>
          </w:tcPr>
          <w:p w:rsidR="001947E0" w:rsidRPr="004644B3" w:rsidRDefault="001947E0" w:rsidP="009C2512">
            <w:pPr>
              <w:spacing w:after="120"/>
              <w:jc w:val="both"/>
              <w:rPr>
                <w:rFonts w:cs="Times New Roman"/>
                <w:szCs w:val="24"/>
              </w:rPr>
            </w:pPr>
            <w:r w:rsidRPr="004644B3">
              <w:rPr>
                <w:rFonts w:cs="Times New Roman"/>
                <w:szCs w:val="24"/>
              </w:rPr>
              <w:t>Wars</w:t>
            </w:r>
          </w:p>
        </w:tc>
        <w:tc>
          <w:tcPr>
            <w:tcW w:w="828" w:type="dxa"/>
          </w:tcPr>
          <w:p w:rsidR="001947E0" w:rsidRPr="004644B3" w:rsidRDefault="001947E0" w:rsidP="009C2512">
            <w:pPr>
              <w:spacing w:after="120"/>
              <w:jc w:val="both"/>
              <w:rPr>
                <w:rFonts w:cs="Times New Roman"/>
                <w:szCs w:val="24"/>
              </w:rPr>
            </w:pPr>
            <w:proofErr w:type="spellStart"/>
            <w:r w:rsidRPr="004644B3">
              <w:rPr>
                <w:rFonts w:cs="Times New Roman"/>
                <w:szCs w:val="24"/>
              </w:rPr>
              <w:t>Acci</w:t>
            </w:r>
            <w:proofErr w:type="spellEnd"/>
            <w:r>
              <w:rPr>
                <w:rFonts w:cs="Times New Roman"/>
                <w:szCs w:val="24"/>
              </w:rPr>
              <w:t>-</w:t>
            </w:r>
            <w:r w:rsidRPr="004644B3">
              <w:rPr>
                <w:rFonts w:cs="Times New Roman"/>
                <w:szCs w:val="24"/>
              </w:rPr>
              <w:t>dents</w:t>
            </w:r>
          </w:p>
        </w:tc>
      </w:tr>
      <w:tr w:rsidR="001947E0" w:rsidRPr="004644B3" w:rsidTr="009C2512">
        <w:trPr>
          <w:jc w:val="center"/>
        </w:trPr>
        <w:tc>
          <w:tcPr>
            <w:tcW w:w="1098" w:type="dxa"/>
          </w:tcPr>
          <w:p w:rsidR="001947E0" w:rsidRPr="004644B3" w:rsidRDefault="001947E0" w:rsidP="009C2512">
            <w:pPr>
              <w:spacing w:after="120"/>
              <w:jc w:val="both"/>
              <w:rPr>
                <w:rFonts w:cs="Times New Roman"/>
                <w:szCs w:val="24"/>
              </w:rPr>
            </w:pPr>
            <w:r w:rsidRPr="004644B3">
              <w:rPr>
                <w:rFonts w:cs="Times New Roman"/>
                <w:szCs w:val="24"/>
              </w:rPr>
              <w:t>Pearson’s chi-squared test p-value</w:t>
            </w:r>
          </w:p>
        </w:tc>
        <w:tc>
          <w:tcPr>
            <w:tcW w:w="900" w:type="dxa"/>
          </w:tcPr>
          <w:p w:rsidR="001947E0" w:rsidRPr="004644B3" w:rsidRDefault="001947E0" w:rsidP="009C2512">
            <w:pPr>
              <w:spacing w:after="120"/>
              <w:jc w:val="both"/>
              <w:rPr>
                <w:rFonts w:cs="Times New Roman"/>
                <w:szCs w:val="24"/>
              </w:rPr>
            </w:pPr>
            <w:r w:rsidRPr="004644B3">
              <w:rPr>
                <w:rFonts w:cs="Times New Roman"/>
                <w:szCs w:val="24"/>
              </w:rPr>
              <w:t>0.28</w:t>
            </w:r>
          </w:p>
        </w:tc>
        <w:tc>
          <w:tcPr>
            <w:tcW w:w="911" w:type="dxa"/>
          </w:tcPr>
          <w:p w:rsidR="001947E0" w:rsidRPr="004644B3" w:rsidRDefault="001947E0" w:rsidP="009C2512">
            <w:pPr>
              <w:spacing w:after="120"/>
              <w:jc w:val="both"/>
              <w:rPr>
                <w:rFonts w:cs="Times New Roman"/>
                <w:szCs w:val="24"/>
              </w:rPr>
            </w:pPr>
            <w:r w:rsidRPr="004644B3">
              <w:rPr>
                <w:rFonts w:cs="Times New Roman"/>
                <w:szCs w:val="24"/>
              </w:rPr>
              <w:t>0.93</w:t>
            </w:r>
          </w:p>
        </w:tc>
        <w:tc>
          <w:tcPr>
            <w:tcW w:w="799" w:type="dxa"/>
          </w:tcPr>
          <w:p w:rsidR="001947E0" w:rsidRPr="004644B3" w:rsidRDefault="001947E0" w:rsidP="009C2512">
            <w:pPr>
              <w:spacing w:after="120"/>
              <w:jc w:val="both"/>
              <w:rPr>
                <w:rFonts w:cs="Times New Roman"/>
                <w:szCs w:val="24"/>
              </w:rPr>
            </w:pPr>
            <w:r w:rsidRPr="004644B3">
              <w:rPr>
                <w:rFonts w:cs="Times New Roman"/>
                <w:szCs w:val="24"/>
              </w:rPr>
              <w:t>0.72</w:t>
            </w:r>
          </w:p>
        </w:tc>
        <w:tc>
          <w:tcPr>
            <w:tcW w:w="828" w:type="dxa"/>
          </w:tcPr>
          <w:p w:rsidR="001947E0" w:rsidRPr="004644B3" w:rsidRDefault="001947E0" w:rsidP="009C2512">
            <w:pPr>
              <w:spacing w:after="120"/>
              <w:jc w:val="both"/>
              <w:rPr>
                <w:rFonts w:cs="Times New Roman"/>
                <w:szCs w:val="24"/>
              </w:rPr>
            </w:pPr>
            <w:r w:rsidRPr="004644B3">
              <w:rPr>
                <w:rFonts w:cs="Times New Roman"/>
                <w:szCs w:val="24"/>
              </w:rPr>
              <w:t>&lt;0.001</w:t>
            </w:r>
          </w:p>
        </w:tc>
      </w:tr>
      <w:tr w:rsidR="001947E0" w:rsidRPr="004644B3" w:rsidTr="009C2512">
        <w:trPr>
          <w:jc w:val="center"/>
        </w:trPr>
        <w:tc>
          <w:tcPr>
            <w:tcW w:w="1098" w:type="dxa"/>
          </w:tcPr>
          <w:p w:rsidR="001947E0" w:rsidRPr="004644B3" w:rsidRDefault="001947E0" w:rsidP="009C2512">
            <w:pPr>
              <w:spacing w:after="120"/>
              <w:jc w:val="both"/>
              <w:rPr>
                <w:rFonts w:cs="Times New Roman"/>
                <w:szCs w:val="24"/>
              </w:rPr>
            </w:pPr>
            <w:proofErr w:type="spellStart"/>
            <w:r w:rsidRPr="004644B3">
              <w:rPr>
                <w:rFonts w:cs="Times New Roman"/>
                <w:szCs w:val="24"/>
              </w:rPr>
              <w:t>Leemis</w:t>
            </w:r>
            <w:proofErr w:type="spellEnd"/>
            <w:r w:rsidRPr="004644B3">
              <w:rPr>
                <w:rFonts w:cs="Times New Roman"/>
                <w:szCs w:val="24"/>
              </w:rPr>
              <w:t>’ m</w:t>
            </w:r>
          </w:p>
        </w:tc>
        <w:tc>
          <w:tcPr>
            <w:tcW w:w="900" w:type="dxa"/>
          </w:tcPr>
          <w:p w:rsidR="001947E0" w:rsidRPr="004644B3" w:rsidRDefault="001947E0" w:rsidP="009C2512">
            <w:pPr>
              <w:spacing w:after="120"/>
              <w:jc w:val="both"/>
              <w:rPr>
                <w:rFonts w:cs="Times New Roman"/>
                <w:szCs w:val="24"/>
              </w:rPr>
            </w:pPr>
            <w:r w:rsidRPr="004644B3">
              <w:rPr>
                <w:rFonts w:cs="Times New Roman"/>
                <w:szCs w:val="24"/>
              </w:rPr>
              <w:t>0.72</w:t>
            </w:r>
          </w:p>
        </w:tc>
        <w:tc>
          <w:tcPr>
            <w:tcW w:w="911" w:type="dxa"/>
          </w:tcPr>
          <w:p w:rsidR="001947E0" w:rsidRPr="004644B3" w:rsidRDefault="001947E0" w:rsidP="009C2512">
            <w:pPr>
              <w:spacing w:after="120"/>
              <w:jc w:val="both"/>
              <w:rPr>
                <w:rFonts w:cs="Times New Roman"/>
                <w:szCs w:val="24"/>
              </w:rPr>
            </w:pPr>
            <w:r w:rsidRPr="004644B3">
              <w:rPr>
                <w:rFonts w:cs="Times New Roman"/>
                <w:szCs w:val="24"/>
              </w:rPr>
              <w:t>0.52</w:t>
            </w:r>
          </w:p>
        </w:tc>
        <w:tc>
          <w:tcPr>
            <w:tcW w:w="799" w:type="dxa"/>
          </w:tcPr>
          <w:p w:rsidR="001947E0" w:rsidRPr="004644B3" w:rsidRDefault="001947E0" w:rsidP="009C2512">
            <w:pPr>
              <w:spacing w:after="120"/>
              <w:jc w:val="both"/>
              <w:rPr>
                <w:rFonts w:cs="Times New Roman"/>
                <w:szCs w:val="24"/>
              </w:rPr>
            </w:pPr>
            <w:r w:rsidRPr="004644B3">
              <w:rPr>
                <w:rFonts w:cs="Times New Roman"/>
                <w:szCs w:val="24"/>
              </w:rPr>
              <w:t>0.76</w:t>
            </w:r>
          </w:p>
        </w:tc>
        <w:tc>
          <w:tcPr>
            <w:tcW w:w="828" w:type="dxa"/>
          </w:tcPr>
          <w:p w:rsidR="001947E0" w:rsidRPr="004644B3" w:rsidRDefault="001947E0" w:rsidP="009C2512">
            <w:pPr>
              <w:spacing w:after="120"/>
              <w:jc w:val="both"/>
              <w:rPr>
                <w:rFonts w:cs="Times New Roman"/>
                <w:szCs w:val="24"/>
              </w:rPr>
            </w:pPr>
            <w:r w:rsidRPr="004644B3">
              <w:rPr>
                <w:rFonts w:cs="Times New Roman"/>
                <w:szCs w:val="24"/>
              </w:rPr>
              <w:t>2.19</w:t>
            </w:r>
          </w:p>
        </w:tc>
      </w:tr>
      <w:tr w:rsidR="001947E0" w:rsidRPr="004644B3" w:rsidTr="009C2512">
        <w:trPr>
          <w:jc w:val="center"/>
        </w:trPr>
        <w:tc>
          <w:tcPr>
            <w:tcW w:w="1098" w:type="dxa"/>
          </w:tcPr>
          <w:p w:rsidR="001947E0" w:rsidRPr="004644B3" w:rsidRDefault="001947E0" w:rsidP="009C2512">
            <w:pPr>
              <w:spacing w:after="120"/>
              <w:jc w:val="both"/>
              <w:rPr>
                <w:rFonts w:cs="Times New Roman"/>
                <w:szCs w:val="24"/>
              </w:rPr>
            </w:pPr>
            <w:r w:rsidRPr="004644B3">
              <w:rPr>
                <w:rFonts w:cs="Times New Roman"/>
                <w:szCs w:val="24"/>
              </w:rPr>
              <w:t>Cho-</w:t>
            </w:r>
            <w:proofErr w:type="spellStart"/>
            <w:r w:rsidRPr="004644B3">
              <w:rPr>
                <w:rFonts w:cs="Times New Roman"/>
                <w:szCs w:val="24"/>
              </w:rPr>
              <w:t>Gaines’d</w:t>
            </w:r>
            <w:proofErr w:type="spellEnd"/>
            <w:r w:rsidRPr="004644B3">
              <w:rPr>
                <w:rFonts w:cs="Times New Roman"/>
                <w:szCs w:val="24"/>
              </w:rPr>
              <w:t xml:space="preserve"> </w:t>
            </w:r>
          </w:p>
        </w:tc>
        <w:tc>
          <w:tcPr>
            <w:tcW w:w="900" w:type="dxa"/>
          </w:tcPr>
          <w:p w:rsidR="001947E0" w:rsidRPr="004644B3" w:rsidRDefault="001947E0" w:rsidP="009C2512">
            <w:pPr>
              <w:spacing w:after="120"/>
              <w:jc w:val="both"/>
              <w:rPr>
                <w:rFonts w:cs="Times New Roman"/>
                <w:szCs w:val="24"/>
              </w:rPr>
            </w:pPr>
            <w:r w:rsidRPr="004644B3">
              <w:rPr>
                <w:rFonts w:cs="Times New Roman"/>
                <w:szCs w:val="24"/>
              </w:rPr>
              <w:t>1.10</w:t>
            </w:r>
          </w:p>
        </w:tc>
        <w:tc>
          <w:tcPr>
            <w:tcW w:w="911" w:type="dxa"/>
          </w:tcPr>
          <w:p w:rsidR="001947E0" w:rsidRPr="004644B3" w:rsidRDefault="001947E0" w:rsidP="009C2512">
            <w:pPr>
              <w:spacing w:after="120"/>
              <w:jc w:val="both"/>
              <w:rPr>
                <w:rFonts w:cs="Times New Roman"/>
                <w:szCs w:val="24"/>
              </w:rPr>
            </w:pPr>
            <w:r w:rsidRPr="004644B3">
              <w:rPr>
                <w:rFonts w:cs="Times New Roman"/>
                <w:szCs w:val="24"/>
              </w:rPr>
              <w:t>0.73</w:t>
            </w:r>
          </w:p>
        </w:tc>
        <w:tc>
          <w:tcPr>
            <w:tcW w:w="799" w:type="dxa"/>
          </w:tcPr>
          <w:p w:rsidR="001947E0" w:rsidRPr="004644B3" w:rsidRDefault="001947E0" w:rsidP="009C2512">
            <w:pPr>
              <w:spacing w:after="120"/>
              <w:jc w:val="both"/>
              <w:rPr>
                <w:rFonts w:cs="Times New Roman"/>
                <w:szCs w:val="24"/>
              </w:rPr>
            </w:pPr>
            <w:r w:rsidRPr="004644B3">
              <w:rPr>
                <w:rFonts w:cs="Times New Roman"/>
                <w:szCs w:val="24"/>
              </w:rPr>
              <w:t>0.94</w:t>
            </w:r>
          </w:p>
        </w:tc>
        <w:tc>
          <w:tcPr>
            <w:tcW w:w="828" w:type="dxa"/>
          </w:tcPr>
          <w:p w:rsidR="001947E0" w:rsidRPr="004644B3" w:rsidRDefault="001947E0" w:rsidP="009C2512">
            <w:pPr>
              <w:spacing w:after="120"/>
              <w:jc w:val="both"/>
              <w:rPr>
                <w:rFonts w:cs="Times New Roman"/>
                <w:szCs w:val="24"/>
              </w:rPr>
            </w:pPr>
            <w:r w:rsidRPr="004644B3">
              <w:rPr>
                <w:rFonts w:cs="Times New Roman"/>
                <w:szCs w:val="24"/>
              </w:rPr>
              <w:t>2.62</w:t>
            </w:r>
          </w:p>
        </w:tc>
      </w:tr>
    </w:tbl>
    <w:p w:rsidR="001947E0" w:rsidRDefault="001947E0" w:rsidP="004A695E">
      <w:pPr>
        <w:spacing w:after="120" w:line="240" w:lineRule="auto"/>
        <w:jc w:val="both"/>
        <w:rPr>
          <w:rFonts w:cs="Times New Roman"/>
          <w:szCs w:val="24"/>
        </w:rPr>
      </w:pP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Earlier in 2002, </w:t>
      </w:r>
      <w:proofErr w:type="spellStart"/>
      <w:r w:rsidRPr="004644B3">
        <w:rPr>
          <w:rFonts w:cs="Times New Roman"/>
          <w:szCs w:val="24"/>
        </w:rPr>
        <w:t>Sandron</w:t>
      </w:r>
      <w:proofErr w:type="spellEnd"/>
      <w:r w:rsidRPr="004644B3">
        <w:rPr>
          <w:rFonts w:cs="Times New Roman"/>
          <w:szCs w:val="24"/>
        </w:rPr>
        <w:t xml:space="preserve"> showed that populations of 198 countries or geopolitical entities as in the year 1997 followed Benford’s law. </w:t>
      </w:r>
      <w:r w:rsidRPr="004644B3">
        <w:rPr>
          <w:rFonts w:cs="Times New Roman"/>
          <w:szCs w:val="24"/>
          <w:vertAlign w:val="superscript"/>
        </w:rPr>
        <w:t>[16]</w:t>
      </w:r>
      <w:r w:rsidRPr="004644B3">
        <w:rPr>
          <w:rFonts w:cs="Times New Roman"/>
          <w:szCs w:val="24"/>
        </w:rPr>
        <w:t xml:space="preserve"> Here, we have performed the analysis for 57 years: from 1960 to 2016</w:t>
      </w:r>
      <w:r w:rsidR="00405BAD">
        <w:rPr>
          <w:rFonts w:cs="Times New Roman"/>
          <w:szCs w:val="24"/>
        </w:rPr>
        <w:t xml:space="preserve">, </w:t>
      </w:r>
      <w:r w:rsidRPr="004644B3">
        <w:rPr>
          <w:rFonts w:cs="Times New Roman"/>
          <w:szCs w:val="24"/>
        </w:rPr>
        <w:t>each year dealt separately, carrying out the above tests, and recording the associated p-values</w:t>
      </w:r>
      <w:r w:rsidR="00797F82">
        <w:rPr>
          <w:rFonts w:cs="Times New Roman"/>
          <w:szCs w:val="24"/>
        </w:rPr>
        <w:t xml:space="preserve"> and other statistics</w:t>
      </w:r>
      <w:r w:rsidRPr="004644B3">
        <w:rPr>
          <w:rFonts w:cs="Times New Roman"/>
          <w:szCs w:val="24"/>
        </w:rPr>
        <w:t xml:space="preserve">. The resulting p-values are shown in figure 3. </w:t>
      </w:r>
    </w:p>
    <w:p w:rsidR="00AE181D" w:rsidRPr="004644B3" w:rsidRDefault="00E45B38" w:rsidP="004A695E">
      <w:pPr>
        <w:spacing w:after="120" w:line="240" w:lineRule="auto"/>
        <w:jc w:val="both"/>
        <w:rPr>
          <w:rFonts w:cs="Times New Roman"/>
          <w:szCs w:val="24"/>
        </w:rPr>
      </w:pPr>
      <w:r w:rsidRPr="004644B3">
        <w:rPr>
          <w:rFonts w:cs="Times New Roman"/>
          <w:szCs w:val="24"/>
        </w:rPr>
        <w:lastRenderedPageBreak/>
        <w:t>Of the</w:t>
      </w:r>
      <w:r w:rsidR="00AE181D" w:rsidRPr="004644B3">
        <w:rPr>
          <w:rFonts w:cs="Times New Roman"/>
          <w:szCs w:val="24"/>
        </w:rPr>
        <w:t xml:space="preserve"> 57 years analyzed, no instance was found where the chi-squared test p-value was below 0.01, which implies world population data of different territories in any year conforming to Benford’s law, at 1% level of statistical significance, indicating a very strong compliance. The fact that the compliance is very strong is further justified from the finding that only one p-value is below 0.05 (in the case of the year 1960), which indicates that all other cases are very strongly congruent with Benford’s law.</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Also examined were </w:t>
      </w:r>
      <w:proofErr w:type="spellStart"/>
      <w:r w:rsidRPr="004644B3">
        <w:rPr>
          <w:rFonts w:cs="Times New Roman"/>
          <w:szCs w:val="24"/>
        </w:rPr>
        <w:t>Leemis</w:t>
      </w:r>
      <w:proofErr w:type="spellEnd"/>
      <w:r w:rsidRPr="004644B3">
        <w:rPr>
          <w:rFonts w:cs="Times New Roman"/>
          <w:szCs w:val="24"/>
        </w:rPr>
        <w:t>’ m and Cho-</w:t>
      </w:r>
      <w:proofErr w:type="gramStart"/>
      <w:r w:rsidRPr="004644B3">
        <w:rPr>
          <w:rFonts w:cs="Times New Roman"/>
          <w:szCs w:val="24"/>
        </w:rPr>
        <w:t>Gaines’ d</w:t>
      </w:r>
      <w:proofErr w:type="gramEnd"/>
      <w:r w:rsidRPr="004644B3">
        <w:rPr>
          <w:rFonts w:cs="Times New Roman"/>
          <w:szCs w:val="24"/>
        </w:rPr>
        <w:t xml:space="preserve"> measures. They have </w:t>
      </w:r>
      <w:r w:rsidR="00076045">
        <w:rPr>
          <w:rFonts w:cs="Times New Roman"/>
          <w:szCs w:val="24"/>
        </w:rPr>
        <w:t xml:space="preserve">also </w:t>
      </w:r>
      <w:r w:rsidRPr="004644B3">
        <w:rPr>
          <w:rFonts w:cs="Times New Roman"/>
          <w:szCs w:val="24"/>
        </w:rPr>
        <w:t xml:space="preserve">been found to be </w:t>
      </w:r>
      <w:r w:rsidR="00076045">
        <w:rPr>
          <w:rFonts w:cs="Times New Roman"/>
          <w:szCs w:val="24"/>
        </w:rPr>
        <w:t>un</w:t>
      </w:r>
      <w:r w:rsidRPr="004644B3">
        <w:rPr>
          <w:rFonts w:cs="Times New Roman"/>
          <w:szCs w:val="24"/>
        </w:rPr>
        <w:t xml:space="preserve">compromising; at 1% level of significance, in stark </w:t>
      </w:r>
      <w:r w:rsidR="00324A1D">
        <w:rPr>
          <w:rFonts w:cs="Times New Roman"/>
          <w:szCs w:val="24"/>
        </w:rPr>
        <w:t>dovetail</w:t>
      </w:r>
      <w:r w:rsidRPr="004644B3">
        <w:rPr>
          <w:rFonts w:cs="Times New Roman"/>
          <w:szCs w:val="24"/>
        </w:rPr>
        <w:t xml:space="preserve"> with chi-squared test, no case could be concluded to defy the law—neither by </w:t>
      </w:r>
      <w:proofErr w:type="spellStart"/>
      <w:r w:rsidRPr="004644B3">
        <w:rPr>
          <w:rFonts w:cs="Times New Roman"/>
          <w:szCs w:val="24"/>
        </w:rPr>
        <w:t>Leemis</w:t>
      </w:r>
      <w:proofErr w:type="spellEnd"/>
      <w:r w:rsidRPr="004644B3">
        <w:rPr>
          <w:rFonts w:cs="Times New Roman"/>
          <w:szCs w:val="24"/>
        </w:rPr>
        <w:t xml:space="preserve">’ m nor by Cho-Gaines’  d statistics. Thus, strong compliance with the law has been established. </w:t>
      </w:r>
    </w:p>
    <w:p w:rsidR="00AE181D" w:rsidRPr="004644B3" w:rsidRDefault="00AE181D" w:rsidP="004A695E">
      <w:pPr>
        <w:spacing w:after="120" w:line="240" w:lineRule="auto"/>
        <w:jc w:val="both"/>
        <w:rPr>
          <w:rFonts w:cs="Times New Roman"/>
          <w:szCs w:val="24"/>
        </w:rPr>
      </w:pPr>
      <w:r w:rsidRPr="004644B3">
        <w:rPr>
          <w:rFonts w:cs="Times New Roman"/>
          <w:szCs w:val="24"/>
        </w:rPr>
        <w:t xml:space="preserve">Therefore, these findings can be applied to detect fraud or artificial anomaly in the figures related to populations of different territories at a given instant of time. </w:t>
      </w:r>
    </w:p>
    <w:p w:rsidR="00AE181D" w:rsidRPr="004644B3" w:rsidRDefault="00AE181D" w:rsidP="004A695E">
      <w:pPr>
        <w:spacing w:after="120" w:line="240" w:lineRule="auto"/>
        <w:jc w:val="both"/>
        <w:rPr>
          <w:rFonts w:cs="Times New Roman"/>
          <w:szCs w:val="24"/>
        </w:rPr>
      </w:pPr>
    </w:p>
    <w:p w:rsidR="00291B09" w:rsidRDefault="00291B09" w:rsidP="004A695E">
      <w:pPr>
        <w:spacing w:after="120" w:line="240" w:lineRule="auto"/>
        <w:jc w:val="both"/>
        <w:rPr>
          <w:rFonts w:cs="Times New Roman"/>
          <w:szCs w:val="24"/>
        </w:rPr>
        <w:sectPr w:rsidR="00291B09" w:rsidSect="00A6735B">
          <w:type w:val="continuous"/>
          <w:pgSz w:w="12240" w:h="15840"/>
          <w:pgMar w:top="1440" w:right="1440" w:bottom="1440" w:left="1440" w:header="720" w:footer="720" w:gutter="0"/>
          <w:cols w:num="2" w:space="432"/>
          <w:docGrid w:linePitch="360"/>
        </w:sectPr>
      </w:pPr>
    </w:p>
    <w:p w:rsidR="00291B09" w:rsidRDefault="00AE181D" w:rsidP="004A695E">
      <w:pPr>
        <w:spacing w:after="120" w:line="240" w:lineRule="auto"/>
        <w:jc w:val="both"/>
        <w:rPr>
          <w:rFonts w:cs="Times New Roman"/>
          <w:szCs w:val="24"/>
        </w:rPr>
        <w:sectPr w:rsidR="00291B09" w:rsidSect="00867C25">
          <w:type w:val="continuous"/>
          <w:pgSz w:w="12240" w:h="15840"/>
          <w:pgMar w:top="1440" w:right="1440" w:bottom="1440" w:left="1440" w:header="720" w:footer="720" w:gutter="0"/>
          <w:cols w:space="432"/>
          <w:docGrid w:linePitch="360"/>
        </w:sectPr>
      </w:pPr>
      <w:r w:rsidRPr="004644B3">
        <w:rPr>
          <w:rFonts w:cs="Times New Roman"/>
          <w:noProof/>
          <w:szCs w:val="24"/>
        </w:rPr>
        <w:lastRenderedPageBreak/>
        <w:drawing>
          <wp:inline distT="0" distB="0" distL="0" distR="0" wp14:anchorId="548A734C" wp14:editId="5E760EC9">
            <wp:extent cx="5943600" cy="4255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_test_pop.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255135"/>
                    </a:xfrm>
                    <a:prstGeom prst="rect">
                      <a:avLst/>
                    </a:prstGeom>
                  </pic:spPr>
                </pic:pic>
              </a:graphicData>
            </a:graphic>
          </wp:inline>
        </w:drawing>
      </w:r>
    </w:p>
    <w:p w:rsidR="00AE181D" w:rsidRPr="004644B3" w:rsidRDefault="00F372E0" w:rsidP="004A695E">
      <w:pPr>
        <w:spacing w:after="120" w:line="240" w:lineRule="auto"/>
        <w:jc w:val="both"/>
        <w:rPr>
          <w:rFonts w:cs="Times New Roman"/>
          <w:b/>
          <w:bCs/>
          <w:szCs w:val="24"/>
        </w:rPr>
      </w:pPr>
      <w:r>
        <w:rPr>
          <w:rFonts w:cs="Times New Roman"/>
          <w:b/>
          <w:bCs/>
          <w:szCs w:val="24"/>
        </w:rPr>
        <w:lastRenderedPageBreak/>
        <w:t>Fig.</w:t>
      </w:r>
      <w:r w:rsidR="007F7AD9">
        <w:rPr>
          <w:rFonts w:cs="Times New Roman"/>
          <w:b/>
          <w:bCs/>
          <w:szCs w:val="24"/>
        </w:rPr>
        <w:t xml:space="preserve"> </w:t>
      </w:r>
      <w:r w:rsidR="00AE181D" w:rsidRPr="004644B3">
        <w:rPr>
          <w:rFonts w:cs="Times New Roman"/>
          <w:b/>
          <w:bCs/>
          <w:szCs w:val="24"/>
        </w:rPr>
        <w:t xml:space="preserve">2 </w:t>
      </w:r>
      <w:r>
        <w:rPr>
          <w:rFonts w:cs="Times New Roman"/>
          <w:b/>
          <w:bCs/>
          <w:szCs w:val="24"/>
        </w:rPr>
        <w:t>C</w:t>
      </w:r>
      <w:r w:rsidR="00AE181D" w:rsidRPr="004644B3">
        <w:rPr>
          <w:rFonts w:cs="Times New Roman"/>
          <w:b/>
          <w:bCs/>
          <w:szCs w:val="24"/>
        </w:rPr>
        <w:t xml:space="preserve">hi-squared p-values and observed values of </w:t>
      </w:r>
      <w:proofErr w:type="spellStart"/>
      <w:r w:rsidR="00AE181D" w:rsidRPr="004644B3">
        <w:rPr>
          <w:rFonts w:cs="Times New Roman"/>
          <w:b/>
          <w:bCs/>
          <w:szCs w:val="24"/>
        </w:rPr>
        <w:t>Leemis</w:t>
      </w:r>
      <w:proofErr w:type="spellEnd"/>
      <w:r w:rsidR="00AE181D" w:rsidRPr="004644B3">
        <w:rPr>
          <w:rFonts w:cs="Times New Roman"/>
          <w:b/>
          <w:bCs/>
          <w:szCs w:val="24"/>
        </w:rPr>
        <w:t xml:space="preserve">’ m and Cho-Gaines’ d test statistics in testing whether yearly world populations of 263 countries and territories conform to Benford’s law, with each year dealt separately. A total of 57 years were analyzed. </w:t>
      </w:r>
    </w:p>
    <w:p w:rsidR="00291B09" w:rsidRDefault="00291B09" w:rsidP="004A695E">
      <w:pPr>
        <w:spacing w:after="120" w:line="240" w:lineRule="auto"/>
        <w:jc w:val="both"/>
        <w:rPr>
          <w:rFonts w:cs="Times New Roman"/>
          <w:szCs w:val="24"/>
        </w:rPr>
        <w:sectPr w:rsidR="00291B09" w:rsidSect="00867C25">
          <w:type w:val="continuous"/>
          <w:pgSz w:w="12240" w:h="15840"/>
          <w:pgMar w:top="1440" w:right="1440" w:bottom="1440" w:left="1440" w:header="720" w:footer="720" w:gutter="0"/>
          <w:cols w:space="432"/>
          <w:docGrid w:linePitch="360"/>
        </w:sectPr>
      </w:pPr>
    </w:p>
    <w:p w:rsidR="00AE181D" w:rsidRPr="004644B3" w:rsidRDefault="00AE181D" w:rsidP="004A695E">
      <w:pPr>
        <w:spacing w:after="120" w:line="240" w:lineRule="auto"/>
        <w:jc w:val="both"/>
        <w:rPr>
          <w:rFonts w:cs="Times New Roman"/>
          <w:szCs w:val="24"/>
        </w:rPr>
      </w:pPr>
    </w:p>
    <w:p w:rsidR="00AE181D" w:rsidRPr="00712677" w:rsidRDefault="00AE181D" w:rsidP="004A695E">
      <w:pPr>
        <w:spacing w:after="120" w:line="240" w:lineRule="auto"/>
        <w:jc w:val="both"/>
        <w:rPr>
          <w:rFonts w:cs="Times New Roman"/>
          <w:b/>
          <w:bCs/>
          <w:sz w:val="26"/>
          <w:szCs w:val="26"/>
        </w:rPr>
      </w:pPr>
      <w:r w:rsidRPr="00712677">
        <w:rPr>
          <w:rFonts w:cs="Times New Roman"/>
          <w:b/>
          <w:bCs/>
          <w:sz w:val="26"/>
          <w:szCs w:val="26"/>
        </w:rPr>
        <w:t>Conclusion</w:t>
      </w:r>
    </w:p>
    <w:p w:rsidR="00712677" w:rsidRDefault="00AE181D" w:rsidP="004A695E">
      <w:pPr>
        <w:spacing w:after="120" w:line="240" w:lineRule="auto"/>
        <w:jc w:val="both"/>
        <w:rPr>
          <w:rFonts w:cs="Times New Roman"/>
          <w:szCs w:val="24"/>
        </w:rPr>
      </w:pPr>
      <w:r w:rsidRPr="004644B3">
        <w:rPr>
          <w:rFonts w:cs="Times New Roman"/>
          <w:szCs w:val="24"/>
        </w:rPr>
        <w:t>We showed that the number of people dying in disasters around the world conforms well to the Benford’s law. The fact has been clearly illustrated by the plots as well as by Pearson’s c</w:t>
      </w:r>
      <w:r w:rsidR="006B349C">
        <w:rPr>
          <w:rFonts w:cs="Times New Roman"/>
          <w:szCs w:val="24"/>
        </w:rPr>
        <w:t xml:space="preserve">hi-squared goodness-of-fit test and </w:t>
      </w:r>
      <w:proofErr w:type="spellStart"/>
      <w:r w:rsidR="006B349C">
        <w:rPr>
          <w:rFonts w:cs="Times New Roman"/>
          <w:szCs w:val="24"/>
        </w:rPr>
        <w:t>Leemis’s</w:t>
      </w:r>
      <w:proofErr w:type="spellEnd"/>
      <w:r w:rsidR="006B349C">
        <w:rPr>
          <w:rFonts w:cs="Times New Roman"/>
          <w:szCs w:val="24"/>
        </w:rPr>
        <w:t xml:space="preserve"> m and Cho-Gaines d measures</w:t>
      </w:r>
      <w:r w:rsidRPr="004644B3">
        <w:rPr>
          <w:rFonts w:cs="Times New Roman"/>
          <w:szCs w:val="24"/>
        </w:rPr>
        <w:t>. The tests have been performed for a total four types of disasters: floods, wars, earthquakes, and accidents. As far as the accidents are concerned, many different types were considered, including structural fires and collapses, road, aviation and maritime accidents, yet</w:t>
      </w:r>
      <w:r w:rsidR="00B5128B">
        <w:rPr>
          <w:rFonts w:cs="Times New Roman"/>
          <w:szCs w:val="24"/>
        </w:rPr>
        <w:t xml:space="preserve">, although, the graph indicated </w:t>
      </w:r>
      <w:r w:rsidRPr="004644B3">
        <w:rPr>
          <w:rFonts w:cs="Times New Roman"/>
          <w:szCs w:val="24"/>
        </w:rPr>
        <w:t xml:space="preserve">conformity with the law, the p-values </w:t>
      </w:r>
      <w:proofErr w:type="spellStart"/>
      <w:r w:rsidR="00882602">
        <w:rPr>
          <w:rFonts w:cs="Times New Roman"/>
          <w:szCs w:val="24"/>
        </w:rPr>
        <w:t>asnd</w:t>
      </w:r>
      <w:proofErr w:type="spellEnd"/>
      <w:r w:rsidR="00882602">
        <w:rPr>
          <w:rFonts w:cs="Times New Roman"/>
          <w:szCs w:val="24"/>
        </w:rPr>
        <w:t xml:space="preserve"> </w:t>
      </w:r>
    </w:p>
    <w:p w:rsidR="00712677" w:rsidRDefault="00712677" w:rsidP="004A695E">
      <w:pPr>
        <w:spacing w:after="120" w:line="240" w:lineRule="auto"/>
        <w:jc w:val="both"/>
        <w:rPr>
          <w:rFonts w:cs="Times New Roman"/>
          <w:szCs w:val="24"/>
        </w:rPr>
      </w:pPr>
    </w:p>
    <w:p w:rsidR="00AE181D" w:rsidRPr="004644B3" w:rsidRDefault="00882602" w:rsidP="004A695E">
      <w:pPr>
        <w:spacing w:after="120" w:line="240" w:lineRule="auto"/>
        <w:jc w:val="both"/>
        <w:rPr>
          <w:rFonts w:cs="Times New Roman"/>
          <w:szCs w:val="24"/>
        </w:rPr>
      </w:pPr>
      <w:proofErr w:type="gramStart"/>
      <w:r>
        <w:rPr>
          <w:rFonts w:cs="Times New Roman"/>
          <w:szCs w:val="24"/>
        </w:rPr>
        <w:t>other</w:t>
      </w:r>
      <w:proofErr w:type="gramEnd"/>
      <w:r>
        <w:rPr>
          <w:rFonts w:cs="Times New Roman"/>
          <w:szCs w:val="24"/>
        </w:rPr>
        <w:t xml:space="preserve"> tests </w:t>
      </w:r>
      <w:r w:rsidR="00AE181D" w:rsidRPr="004644B3">
        <w:rPr>
          <w:rFonts w:cs="Times New Roman"/>
          <w:szCs w:val="24"/>
        </w:rPr>
        <w:t>indicated noncompliance, a fact possibly resulting from the inadequate types of accidents considered. In all other cases, p-values</w:t>
      </w:r>
      <w:r w:rsidR="00907AC8">
        <w:rPr>
          <w:rFonts w:cs="Times New Roman"/>
          <w:szCs w:val="24"/>
        </w:rPr>
        <w:t xml:space="preserve"> and m and d measures</w:t>
      </w:r>
      <w:r w:rsidR="00AE181D" w:rsidRPr="004644B3">
        <w:rPr>
          <w:rFonts w:cs="Times New Roman"/>
          <w:szCs w:val="24"/>
        </w:rPr>
        <w:t xml:space="preserve"> were in complete harmony with the graphs in establishing compliance of data with the law. </w:t>
      </w:r>
      <w:r w:rsidR="00043B01">
        <w:rPr>
          <w:rFonts w:cs="Times New Roman"/>
          <w:szCs w:val="24"/>
        </w:rPr>
        <w:t xml:space="preserve">The law has also been successfully shown to apply populations of territories in any year, concluded based on 57 years of data. </w:t>
      </w:r>
      <w:r w:rsidR="00EE7B70">
        <w:rPr>
          <w:rFonts w:cs="Times New Roman"/>
          <w:szCs w:val="24"/>
        </w:rPr>
        <w:t xml:space="preserve">The latter finding indirectly is associated with the former, since both are counts of human being. The finding can be employed for </w:t>
      </w:r>
      <w:r w:rsidR="00AA0E05">
        <w:rPr>
          <w:rFonts w:cs="Times New Roman"/>
          <w:szCs w:val="24"/>
        </w:rPr>
        <w:t>fraudulent</w:t>
      </w:r>
      <w:r w:rsidR="00EE7B70">
        <w:rPr>
          <w:rFonts w:cs="Times New Roman"/>
          <w:szCs w:val="24"/>
        </w:rPr>
        <w:t xml:space="preserve"> or incorrect reporting of disaster death tolls, estimating probable number of death</w:t>
      </w:r>
      <w:r w:rsidR="00AA0E05">
        <w:rPr>
          <w:rFonts w:cs="Times New Roman"/>
          <w:szCs w:val="24"/>
        </w:rPr>
        <w:t>s due to natural or artificial disasters</w:t>
      </w:r>
      <w:r w:rsidR="00266CBF">
        <w:rPr>
          <w:rFonts w:cs="Times New Roman"/>
          <w:szCs w:val="24"/>
        </w:rPr>
        <w:t xml:space="preserve"> etc.</w:t>
      </w:r>
    </w:p>
    <w:p w:rsidR="00AE181D" w:rsidRPr="00A6735B" w:rsidRDefault="00AE181D" w:rsidP="00A6735B">
      <w:pPr>
        <w:jc w:val="both"/>
        <w:rPr>
          <w:b/>
          <w:bCs/>
          <w:sz w:val="26"/>
          <w:szCs w:val="32"/>
        </w:rPr>
      </w:pPr>
      <w:r w:rsidRPr="00A6735B">
        <w:rPr>
          <w:b/>
          <w:bCs/>
          <w:sz w:val="26"/>
          <w:szCs w:val="32"/>
        </w:rPr>
        <w:lastRenderedPageBreak/>
        <w:t xml:space="preserve">References </w:t>
      </w:r>
    </w:p>
    <w:p w:rsidR="00AE181D" w:rsidRPr="00A6735B" w:rsidRDefault="00C63E23" w:rsidP="002521A5">
      <w:pPr>
        <w:pStyle w:val="ListParagraph"/>
        <w:numPr>
          <w:ilvl w:val="0"/>
          <w:numId w:val="4"/>
        </w:numPr>
        <w:jc w:val="both"/>
      </w:pPr>
      <w:r>
        <w:t>Benford</w:t>
      </w:r>
      <w:r w:rsidR="003913A3">
        <w:t>, F. 1938</w:t>
      </w:r>
      <w:r>
        <w:t>. The law of anomalous numbers</w:t>
      </w:r>
      <w:r w:rsidR="00AE181D" w:rsidRPr="00A6735B">
        <w:t xml:space="preserve">. </w:t>
      </w:r>
      <w:r w:rsidRPr="00C63E23">
        <w:t>Proceedings of the American Philosophical Society</w:t>
      </w:r>
      <w:r w:rsidR="00AE181D" w:rsidRPr="00A6735B">
        <w:t xml:space="preserve">. 78 (4): 551–572. JSTOR 984802. </w:t>
      </w:r>
      <w:r>
        <w:t xml:space="preserve"> </w:t>
      </w:r>
    </w:p>
    <w:p w:rsidR="00AE181D" w:rsidRPr="00A6735B" w:rsidRDefault="00AE181D" w:rsidP="002521A5">
      <w:pPr>
        <w:pStyle w:val="ListParagraph"/>
        <w:numPr>
          <w:ilvl w:val="0"/>
          <w:numId w:val="4"/>
        </w:numPr>
        <w:jc w:val="both"/>
      </w:pPr>
      <w:r w:rsidRPr="00A6735B">
        <w:t xml:space="preserve">Paul H. </w:t>
      </w:r>
      <w:proofErr w:type="spellStart"/>
      <w:r w:rsidRPr="00A6735B">
        <w:t>Kvam</w:t>
      </w:r>
      <w:proofErr w:type="spellEnd"/>
      <w:r w:rsidRPr="00A6735B">
        <w:t xml:space="preserve">, </w:t>
      </w:r>
      <w:proofErr w:type="spellStart"/>
      <w:r w:rsidRPr="00A6735B">
        <w:t>Brani</w:t>
      </w:r>
      <w:proofErr w:type="spellEnd"/>
      <w:r w:rsidRPr="00A6735B">
        <w:t xml:space="preserve"> </w:t>
      </w:r>
      <w:proofErr w:type="spellStart"/>
      <w:r w:rsidRPr="00A6735B">
        <w:t>Vidakovic</w:t>
      </w:r>
      <w:proofErr w:type="spellEnd"/>
      <w:r w:rsidRPr="00A6735B">
        <w:t>, Nonparametric Statistics with Applications to Science and Engineering, p. 158</w:t>
      </w:r>
    </w:p>
    <w:p w:rsidR="00AE181D" w:rsidRPr="00A6735B" w:rsidRDefault="00C63E23" w:rsidP="002521A5">
      <w:pPr>
        <w:pStyle w:val="ListParagraph"/>
        <w:numPr>
          <w:ilvl w:val="0"/>
          <w:numId w:val="4"/>
        </w:numPr>
        <w:jc w:val="both"/>
      </w:pPr>
      <w:r>
        <w:t>Newcomb</w:t>
      </w:r>
      <w:r w:rsidR="003913A3">
        <w:t>, S. 1881</w:t>
      </w:r>
      <w:r>
        <w:t xml:space="preserve">. </w:t>
      </w:r>
      <w:r w:rsidR="00AE181D" w:rsidRPr="00A6735B">
        <w:t>Note on the frequency of use of the diff</w:t>
      </w:r>
      <w:r>
        <w:t>erent digits in natural numbers</w:t>
      </w:r>
      <w:r w:rsidR="00AE181D" w:rsidRPr="00A6735B">
        <w:t xml:space="preserve">. American Journal of Mathematics. American Journal of Mathematics, Vol. 4, No. 1. 4 (1/4): 39–40. </w:t>
      </w:r>
      <w:proofErr w:type="gramStart"/>
      <w:r w:rsidR="00AE181D" w:rsidRPr="00A6735B">
        <w:t>doi:</w:t>
      </w:r>
      <w:proofErr w:type="gramEnd"/>
      <w:r w:rsidR="00AE181D" w:rsidRPr="00A6735B">
        <w:t>10.2307/2369148. JSTOR 2369148.</w:t>
      </w:r>
    </w:p>
    <w:p w:rsidR="00AE181D" w:rsidRPr="00A6735B" w:rsidRDefault="00AE181D" w:rsidP="002521A5">
      <w:pPr>
        <w:pStyle w:val="ListParagraph"/>
        <w:numPr>
          <w:ilvl w:val="0"/>
          <w:numId w:val="4"/>
        </w:numPr>
        <w:jc w:val="both"/>
      </w:pPr>
      <w:r w:rsidRPr="00A6735B">
        <w:t>Roger S. Pinkham, On the Distribution of First Significant Digits, Ann. Math. Statist. Volume 32, Number 4 (1961), 1223-1230.</w:t>
      </w:r>
    </w:p>
    <w:p w:rsidR="00AE181D" w:rsidRPr="00A6735B" w:rsidRDefault="00C63E23" w:rsidP="002521A5">
      <w:pPr>
        <w:pStyle w:val="ListParagraph"/>
        <w:numPr>
          <w:ilvl w:val="0"/>
          <w:numId w:val="4"/>
        </w:numPr>
        <w:jc w:val="both"/>
      </w:pPr>
      <w:r>
        <w:t xml:space="preserve">Steven W. Smith. </w:t>
      </w:r>
      <w:r w:rsidR="00AE181D" w:rsidRPr="00A6735B">
        <w:t>The Scientist and Engineer's Guide to Digital Signal Processing, chapter 34, Explaining B</w:t>
      </w:r>
      <w:r>
        <w:t>enford's Law</w:t>
      </w:r>
      <w:r w:rsidR="00AE181D" w:rsidRPr="00A6735B">
        <w:t>. (</w:t>
      </w:r>
      <w:proofErr w:type="gramStart"/>
      <w:r w:rsidR="00AE181D" w:rsidRPr="00A6735B">
        <w:t>especially</w:t>
      </w:r>
      <w:proofErr w:type="gramEnd"/>
      <w:r w:rsidR="00AE181D" w:rsidRPr="00A6735B">
        <w:t xml:space="preserve"> section 10).</w:t>
      </w:r>
    </w:p>
    <w:p w:rsidR="00AE181D" w:rsidRPr="00A6735B" w:rsidRDefault="00356905" w:rsidP="002521A5">
      <w:pPr>
        <w:pStyle w:val="ListParagraph"/>
        <w:numPr>
          <w:ilvl w:val="0"/>
          <w:numId w:val="4"/>
        </w:numPr>
        <w:jc w:val="both"/>
      </w:pPr>
      <w:proofErr w:type="spellStart"/>
      <w:r>
        <w:t>Fewster</w:t>
      </w:r>
      <w:proofErr w:type="spellEnd"/>
      <w:r>
        <w:t>, R. M. 2009</w:t>
      </w:r>
      <w:r w:rsidR="00C63E23">
        <w:t xml:space="preserve">. </w:t>
      </w:r>
      <w:r w:rsidR="00AE181D" w:rsidRPr="00A6735B">
        <w:t>A simp</w:t>
      </w:r>
      <w:r w:rsidR="00C63E23">
        <w:t>le explanation of Benford's Law</w:t>
      </w:r>
      <w:r w:rsidR="00AE181D" w:rsidRPr="00A6735B">
        <w:t xml:space="preserve"> (PDF). The American Statistician. 63 (1): 26–32. doi:10.1198/tast.2009.0005.</w:t>
      </w:r>
    </w:p>
    <w:p w:rsidR="00AE181D" w:rsidRPr="00A6735B" w:rsidRDefault="00C63E23" w:rsidP="002521A5">
      <w:pPr>
        <w:pStyle w:val="ListParagraph"/>
        <w:numPr>
          <w:ilvl w:val="0"/>
          <w:numId w:val="4"/>
        </w:numPr>
        <w:jc w:val="both"/>
      </w:pPr>
      <w:r>
        <w:t xml:space="preserve">Washington, L. C. </w:t>
      </w:r>
      <w:r w:rsidR="00356905">
        <w:t>1981</w:t>
      </w:r>
      <w:r>
        <w:t xml:space="preserve">. </w:t>
      </w:r>
      <w:r w:rsidR="00AE181D" w:rsidRPr="00A6735B">
        <w:t xml:space="preserve">Benford's Law </w:t>
      </w:r>
      <w:r>
        <w:t>for Fibonacci and Lucas Numbers</w:t>
      </w:r>
      <w:r w:rsidR="00AE181D" w:rsidRPr="00A6735B">
        <w:t>. The Fibonacci Quarterly. 19 (2): 175–177.</w:t>
      </w:r>
    </w:p>
    <w:p w:rsidR="00AE181D" w:rsidRPr="00A6735B" w:rsidRDefault="00356905" w:rsidP="002521A5">
      <w:pPr>
        <w:pStyle w:val="ListParagraph"/>
        <w:numPr>
          <w:ilvl w:val="0"/>
          <w:numId w:val="4"/>
        </w:numPr>
        <w:jc w:val="both"/>
      </w:pPr>
      <w:proofErr w:type="spellStart"/>
      <w:r>
        <w:t>Raimi</w:t>
      </w:r>
      <w:proofErr w:type="spellEnd"/>
      <w:r>
        <w:t xml:space="preserve">. </w:t>
      </w:r>
      <w:proofErr w:type="spellStart"/>
      <w:r>
        <w:t>Raimi</w:t>
      </w:r>
      <w:proofErr w:type="spellEnd"/>
      <w:r>
        <w:t>, Ralph A. 1976</w:t>
      </w:r>
      <w:r w:rsidR="00C63E23">
        <w:t>. The First Digit Problem</w:t>
      </w:r>
      <w:r w:rsidR="00AE181D" w:rsidRPr="00A6735B">
        <w:t xml:space="preserve">. American Mathematical Monthly. 83 (7): 521–538. </w:t>
      </w:r>
      <w:proofErr w:type="gramStart"/>
      <w:r w:rsidR="00AE181D" w:rsidRPr="00A6735B">
        <w:t>doi:</w:t>
      </w:r>
      <w:proofErr w:type="gramEnd"/>
      <w:r w:rsidR="00AE181D" w:rsidRPr="00A6735B">
        <w:t>10.2307/2319349.</w:t>
      </w:r>
    </w:p>
    <w:p w:rsidR="00AE181D" w:rsidRPr="00A6735B" w:rsidRDefault="00356905" w:rsidP="002521A5">
      <w:pPr>
        <w:pStyle w:val="ListParagraph"/>
        <w:numPr>
          <w:ilvl w:val="0"/>
          <w:numId w:val="4"/>
        </w:numPr>
        <w:jc w:val="both"/>
      </w:pPr>
      <w:r>
        <w:t>Stephens, M. A. 1970</w:t>
      </w:r>
      <w:r w:rsidR="00C63E23">
        <w:t xml:space="preserve">. </w:t>
      </w:r>
      <w:r w:rsidR="00AE181D" w:rsidRPr="00A6735B">
        <w:t xml:space="preserve">Use of the Kolmogorov–Smirnov, </w:t>
      </w:r>
      <w:proofErr w:type="spellStart"/>
      <w:r w:rsidR="00AE181D" w:rsidRPr="00A6735B">
        <w:t>Cramér</w:t>
      </w:r>
      <w:proofErr w:type="spellEnd"/>
      <w:r w:rsidR="00AE181D" w:rsidRPr="00A6735B">
        <w:t xml:space="preserve">–Von </w:t>
      </w:r>
      <w:proofErr w:type="spellStart"/>
      <w:r w:rsidR="00AE181D" w:rsidRPr="00A6735B">
        <w:t>Mises</w:t>
      </w:r>
      <w:proofErr w:type="spellEnd"/>
      <w:r w:rsidR="00AE181D" w:rsidRPr="00A6735B">
        <w:t xml:space="preserve"> and Related Stat</w:t>
      </w:r>
      <w:r w:rsidR="00C63E23">
        <w:t xml:space="preserve">istics without </w:t>
      </w:r>
      <w:r w:rsidR="00C63E23">
        <w:lastRenderedPageBreak/>
        <w:t>Extensive Tables</w:t>
      </w:r>
      <w:r w:rsidR="00AE181D" w:rsidRPr="00A6735B">
        <w:t>. Journal of the Royal Statistical Society, Series B. 32 (1): 115–122.</w:t>
      </w:r>
    </w:p>
    <w:p w:rsidR="00AE181D" w:rsidRPr="00A6735B" w:rsidRDefault="00356905" w:rsidP="002521A5">
      <w:pPr>
        <w:pStyle w:val="ListParagraph"/>
        <w:numPr>
          <w:ilvl w:val="0"/>
          <w:numId w:val="4"/>
        </w:numPr>
        <w:jc w:val="both"/>
      </w:pPr>
      <w:r>
        <w:t>Nash. 1976</w:t>
      </w:r>
      <w:r w:rsidR="00AE181D" w:rsidRPr="00A6735B">
        <w:t xml:space="preserve">. Darkest Hours. </w:t>
      </w:r>
      <w:proofErr w:type="spellStart"/>
      <w:r w:rsidR="00AE181D" w:rsidRPr="00A6735B">
        <w:t>Rowman</w:t>
      </w:r>
      <w:proofErr w:type="spellEnd"/>
      <w:r w:rsidR="00AE181D" w:rsidRPr="00A6735B">
        <w:t xml:space="preserve"> &amp; Littlefield. p. 775.</w:t>
      </w:r>
      <w:r w:rsidR="00464420">
        <w:t xml:space="preserve"> </w:t>
      </w:r>
      <w:r w:rsidR="00AE181D" w:rsidRPr="00A6735B">
        <w:t>The Cambridge History of China: Alien regimes and border states, 907–1368, 1994, p.622, cited by White</w:t>
      </w:r>
      <w:r w:rsidR="00464420">
        <w:t xml:space="preserve"> </w:t>
      </w:r>
      <w:r w:rsidR="00AE181D" w:rsidRPr="00A6735B">
        <w:t>Barrett, David. World Christian Trends.</w:t>
      </w:r>
    </w:p>
    <w:p w:rsidR="00AE181D" w:rsidRPr="00A6735B" w:rsidRDefault="00AE181D" w:rsidP="002521A5">
      <w:pPr>
        <w:pStyle w:val="ListParagraph"/>
        <w:numPr>
          <w:ilvl w:val="0"/>
          <w:numId w:val="4"/>
        </w:numPr>
        <w:jc w:val="both"/>
      </w:pPr>
      <w:r w:rsidRPr="00A6735B">
        <w:t>"Hope fades for water park victims". BBC News. 16 February 2004. Retrieved 13 September 2006.</w:t>
      </w:r>
    </w:p>
    <w:p w:rsidR="00AE181D" w:rsidRPr="00A6735B" w:rsidRDefault="00AE181D" w:rsidP="002521A5">
      <w:pPr>
        <w:pStyle w:val="ListParagraph"/>
        <w:numPr>
          <w:ilvl w:val="0"/>
          <w:numId w:val="4"/>
        </w:numPr>
        <w:jc w:val="both"/>
      </w:pPr>
      <w:r w:rsidRPr="00A6735B">
        <w:t xml:space="preserve">Seven die at fun fair: Suddenly fire and </w:t>
      </w:r>
      <w:r w:rsidR="00A22813">
        <w:t>smoke make the mock horror real</w:t>
      </w:r>
      <w:r w:rsidRPr="00A6735B">
        <w:t>. The Age. 11 June 1979. Retrieved 24 November 2016.</w:t>
      </w:r>
    </w:p>
    <w:p w:rsidR="00AE181D" w:rsidRPr="00A6735B" w:rsidRDefault="00464420" w:rsidP="002521A5">
      <w:pPr>
        <w:pStyle w:val="ListParagraph"/>
        <w:numPr>
          <w:ilvl w:val="0"/>
          <w:numId w:val="4"/>
        </w:numPr>
        <w:jc w:val="both"/>
      </w:pPr>
      <w:proofErr w:type="spellStart"/>
      <w:r>
        <w:t>Brakenridge</w:t>
      </w:r>
      <w:proofErr w:type="spellEnd"/>
      <w:r>
        <w:t xml:space="preserve">, </w:t>
      </w:r>
      <w:r w:rsidR="00E72422">
        <w:t xml:space="preserve">G.R. </w:t>
      </w:r>
      <w:r w:rsidR="00AE181D" w:rsidRPr="00A6735B">
        <w:t>Global Activ</w:t>
      </w:r>
      <w:r>
        <w:t>e Archive of Large Flood Events</w:t>
      </w:r>
      <w:r w:rsidR="00AE181D" w:rsidRPr="00A6735B">
        <w:t xml:space="preserve">, Dartmouth Flood Observatory, University of Colorado, </w:t>
      </w:r>
      <w:r w:rsidR="00EF51FD" w:rsidRPr="00EF51FD">
        <w:t>http://floodobservatory.colorado.edu/Archives/index.html.</w:t>
      </w:r>
      <w:r w:rsidR="00EF51FD">
        <w:t xml:space="preserve"> </w:t>
      </w:r>
    </w:p>
    <w:p w:rsidR="00AE181D" w:rsidRPr="00A6735B" w:rsidRDefault="00356905" w:rsidP="002521A5">
      <w:pPr>
        <w:pStyle w:val="ListParagraph"/>
        <w:numPr>
          <w:ilvl w:val="0"/>
          <w:numId w:val="4"/>
        </w:numPr>
        <w:jc w:val="both"/>
      </w:pPr>
      <w:proofErr w:type="spellStart"/>
      <w:r>
        <w:t>Sandron</w:t>
      </w:r>
      <w:proofErr w:type="spellEnd"/>
      <w:r>
        <w:t xml:space="preserve">, F. </w:t>
      </w:r>
      <w:r w:rsidR="00AE181D" w:rsidRPr="00A6735B">
        <w:t xml:space="preserve">2002. Les populations </w:t>
      </w:r>
      <w:proofErr w:type="spellStart"/>
      <w:r w:rsidR="00AE181D" w:rsidRPr="00A6735B">
        <w:t>suivent-elles</w:t>
      </w:r>
      <w:proofErr w:type="spellEnd"/>
      <w:r w:rsidR="00AE181D" w:rsidRPr="00A6735B">
        <w:t xml:space="preserve"> la </w:t>
      </w:r>
      <w:proofErr w:type="spellStart"/>
      <w:r w:rsidR="00AE181D" w:rsidRPr="00A6735B">
        <w:t>loi</w:t>
      </w:r>
      <w:proofErr w:type="spellEnd"/>
      <w:r w:rsidR="00AE181D" w:rsidRPr="00A6735B">
        <w:t xml:space="preserve"> des </w:t>
      </w:r>
      <w:proofErr w:type="spellStart"/>
      <w:r w:rsidR="00AE181D" w:rsidRPr="00A6735B">
        <w:t>nombres</w:t>
      </w:r>
      <w:proofErr w:type="spellEnd"/>
      <w:r w:rsidR="00AE181D" w:rsidRPr="00A6735B">
        <w:t xml:space="preserve"> </w:t>
      </w:r>
      <w:proofErr w:type="spellStart"/>
      <w:r w:rsidR="00AE181D" w:rsidRPr="00A6735B">
        <w:t>anomaux</w:t>
      </w:r>
      <w:proofErr w:type="spellEnd"/>
      <w:proofErr w:type="gramStart"/>
      <w:r w:rsidR="00AE181D" w:rsidRPr="00A6735B">
        <w:t>?.</w:t>
      </w:r>
      <w:proofErr w:type="gramEnd"/>
      <w:r w:rsidR="00AE181D" w:rsidRPr="00A6735B">
        <w:t xml:space="preserve"> Population, vol. 57</w:t>
      </w:r>
      <w:proofErr w:type="gramStart"/>
      <w:r w:rsidR="00AE181D" w:rsidRPr="00A6735B">
        <w:t>,(</w:t>
      </w:r>
      <w:proofErr w:type="gramEnd"/>
      <w:r w:rsidR="00AE181D" w:rsidRPr="00A6735B">
        <w:t>4), 753-761. doi:10.3917/popu.204.0761.</w:t>
      </w:r>
    </w:p>
    <w:p w:rsidR="00AE181D" w:rsidRPr="00A6735B" w:rsidRDefault="00AE181D" w:rsidP="002521A5">
      <w:pPr>
        <w:pStyle w:val="ListParagraph"/>
        <w:numPr>
          <w:ilvl w:val="0"/>
          <w:numId w:val="4"/>
        </w:numPr>
        <w:jc w:val="both"/>
      </w:pPr>
      <w:proofErr w:type="spellStart"/>
      <w:r w:rsidRPr="00A6735B">
        <w:t>Worldometers</w:t>
      </w:r>
      <w:proofErr w:type="spellEnd"/>
      <w:r w:rsidRPr="00A6735B">
        <w:t xml:space="preserve">. Countries of the World.  </w:t>
      </w:r>
      <w:r w:rsidR="00EF51FD" w:rsidRPr="00EF51FD">
        <w:t>http://www.worldometers.info/geography/countries-of-the-world/</w:t>
      </w:r>
      <w:r w:rsidR="00EF51FD">
        <w:t xml:space="preserve"> </w:t>
      </w:r>
    </w:p>
    <w:p w:rsidR="00AE181D" w:rsidRPr="00A6735B" w:rsidRDefault="00A22813" w:rsidP="002521A5">
      <w:pPr>
        <w:pStyle w:val="ListParagraph"/>
        <w:numPr>
          <w:ilvl w:val="0"/>
          <w:numId w:val="4"/>
        </w:numPr>
        <w:jc w:val="both"/>
      </w:pPr>
      <w:r>
        <w:t xml:space="preserve">Theodore P. Hill, </w:t>
      </w:r>
      <w:proofErr w:type="gramStart"/>
      <w:r w:rsidR="00AE181D" w:rsidRPr="00A6735B">
        <w:t>T</w:t>
      </w:r>
      <w:r>
        <w:t>he</w:t>
      </w:r>
      <w:proofErr w:type="gramEnd"/>
      <w:r>
        <w:t xml:space="preserve"> Significant-Digit Phenomenon</w:t>
      </w:r>
      <w:r w:rsidR="00AE181D" w:rsidRPr="00A6735B">
        <w:t xml:space="preserve">, The American Mathematical Monthly, Vol. 102, No. 4, (Apr., 1995), pp. 322–327. </w:t>
      </w:r>
    </w:p>
    <w:p w:rsidR="00AE181D" w:rsidRPr="00A6735B" w:rsidRDefault="00AE181D" w:rsidP="002521A5">
      <w:pPr>
        <w:pStyle w:val="ListParagraph"/>
        <w:numPr>
          <w:ilvl w:val="0"/>
          <w:numId w:val="4"/>
        </w:numPr>
        <w:jc w:val="both"/>
      </w:pPr>
      <w:proofErr w:type="spellStart"/>
      <w:r w:rsidRPr="00A6735B">
        <w:t>Sehity</w:t>
      </w:r>
      <w:proofErr w:type="spellEnd"/>
      <w:r w:rsidRPr="00A6735B">
        <w:t xml:space="preserve">, </w:t>
      </w:r>
      <w:proofErr w:type="spellStart"/>
      <w:r w:rsidRPr="00A6735B">
        <w:t>Tarek</w:t>
      </w:r>
      <w:proofErr w:type="spellEnd"/>
      <w:r w:rsidRPr="00A6735B">
        <w:t xml:space="preserve"> el; </w:t>
      </w:r>
      <w:proofErr w:type="spellStart"/>
      <w:r w:rsidRPr="00A6735B">
        <w:t>Hoelzl</w:t>
      </w:r>
      <w:proofErr w:type="spellEnd"/>
      <w:r w:rsidRPr="00A6735B">
        <w:t xml:space="preserve">, Erik; </w:t>
      </w:r>
      <w:proofErr w:type="spellStart"/>
      <w:r w:rsidRPr="00A6735B">
        <w:t>Kirchler</w:t>
      </w:r>
      <w:proofErr w:type="spellEnd"/>
      <w:r w:rsidRPr="00A6735B">
        <w:t>, Erich (20</w:t>
      </w:r>
      <w:r w:rsidR="00A22813">
        <w:t xml:space="preserve">05-12-01). </w:t>
      </w:r>
      <w:r w:rsidRPr="00A6735B">
        <w:t>Price developments after a nominal shock: Benford's Law and psychological pric</w:t>
      </w:r>
      <w:r w:rsidR="00A22813">
        <w:t>ing after the euro introduction</w:t>
      </w:r>
      <w:r w:rsidRPr="00A6735B">
        <w:t xml:space="preserve">. </w:t>
      </w:r>
      <w:r w:rsidRPr="00A6735B">
        <w:lastRenderedPageBreak/>
        <w:t xml:space="preserve">International Journal of Research in Marketing. 22 (4): 471–480. </w:t>
      </w:r>
      <w:bookmarkStart w:id="0" w:name="_GoBack"/>
      <w:bookmarkEnd w:id="0"/>
    </w:p>
    <w:p w:rsidR="00AE181D" w:rsidRPr="00A6735B" w:rsidRDefault="007C47DE" w:rsidP="002521A5">
      <w:pPr>
        <w:pStyle w:val="ListParagraph"/>
        <w:numPr>
          <w:ilvl w:val="0"/>
          <w:numId w:val="4"/>
        </w:numPr>
        <w:jc w:val="both"/>
      </w:pPr>
      <w:proofErr w:type="spellStart"/>
      <w:r>
        <w:t>Diekmann</w:t>
      </w:r>
      <w:proofErr w:type="spellEnd"/>
      <w:r>
        <w:t>, A. 2007.</w:t>
      </w:r>
      <w:r w:rsidR="00AE181D" w:rsidRPr="00A6735B">
        <w:t xml:space="preserve"> Not the First Digit! Using Benford's Law to detect fraudulent scientific data. J </w:t>
      </w:r>
      <w:proofErr w:type="spellStart"/>
      <w:r w:rsidR="00AE181D" w:rsidRPr="00A6735B">
        <w:t>Appl</w:t>
      </w:r>
      <w:proofErr w:type="spellEnd"/>
      <w:r w:rsidR="00AE181D" w:rsidRPr="00A6735B">
        <w:t xml:space="preserve"> Stat 34 (3) 321–329. </w:t>
      </w:r>
    </w:p>
    <w:p w:rsidR="00AE181D" w:rsidRPr="00A6735B" w:rsidRDefault="007C47DE" w:rsidP="002521A5">
      <w:pPr>
        <w:pStyle w:val="ListParagraph"/>
        <w:numPr>
          <w:ilvl w:val="0"/>
          <w:numId w:val="4"/>
        </w:numPr>
        <w:jc w:val="both"/>
      </w:pPr>
      <w:r>
        <w:t>Morrow, J. 2010</w:t>
      </w:r>
      <w:r w:rsidR="00A22813">
        <w:t xml:space="preserve"> </w:t>
      </w:r>
      <w:r w:rsidR="00AE181D" w:rsidRPr="00A6735B">
        <w:t>Benford’s Law, Families of</w:t>
      </w:r>
      <w:r w:rsidR="00A22813">
        <w:t xml:space="preserve"> Distributions and a test basis</w:t>
      </w:r>
      <w:r w:rsidR="00AE181D" w:rsidRPr="00A6735B">
        <w:t xml:space="preserve">, UW-Madison. </w:t>
      </w:r>
    </w:p>
    <w:p w:rsidR="00AE181D" w:rsidRPr="00A6735B" w:rsidRDefault="00AE181D" w:rsidP="002521A5">
      <w:pPr>
        <w:pStyle w:val="ListParagraph"/>
        <w:numPr>
          <w:ilvl w:val="0"/>
          <w:numId w:val="4"/>
        </w:numPr>
        <w:jc w:val="both"/>
      </w:pPr>
      <w:proofErr w:type="spellStart"/>
      <w:r w:rsidRPr="00A6735B">
        <w:t>Leemis</w:t>
      </w:r>
      <w:proofErr w:type="spellEnd"/>
      <w:r w:rsidRPr="00A6735B">
        <w:t xml:space="preserve">, L. M.; </w:t>
      </w:r>
      <w:proofErr w:type="spellStart"/>
      <w:r w:rsidRPr="00A6735B">
        <w:t>Schmeise</w:t>
      </w:r>
      <w:r w:rsidR="007C47DE">
        <w:t>r</w:t>
      </w:r>
      <w:proofErr w:type="spellEnd"/>
      <w:r w:rsidR="007C47DE">
        <w:t>, B. W.; Evans, D. L. 2000</w:t>
      </w:r>
      <w:r w:rsidR="00A22813">
        <w:t xml:space="preserve">. </w:t>
      </w:r>
      <w:r w:rsidRPr="00A6735B">
        <w:t>Survival distrib</w:t>
      </w:r>
      <w:r w:rsidR="00A22813">
        <w:t>utions satisfying Benford's Law</w:t>
      </w:r>
      <w:r w:rsidRPr="00A6735B">
        <w:t>. The American Statistician. 54 (4): 236–241.</w:t>
      </w:r>
    </w:p>
    <w:p w:rsidR="00AE181D" w:rsidRDefault="00AE181D" w:rsidP="002521A5">
      <w:pPr>
        <w:pStyle w:val="ListParagraph"/>
        <w:numPr>
          <w:ilvl w:val="0"/>
          <w:numId w:val="4"/>
        </w:numPr>
        <w:jc w:val="both"/>
      </w:pPr>
      <w:r w:rsidRPr="00A6735B">
        <w:t>Cho, W</w:t>
      </w:r>
      <w:r w:rsidR="00A22813">
        <w:t xml:space="preserve">. K. T.; Gaines, B. J. (2007). </w:t>
      </w:r>
      <w:r w:rsidRPr="00A6735B">
        <w:t xml:space="preserve">Breaking the (Benford) law: Statistical </w:t>
      </w:r>
      <w:r w:rsidRPr="00A6735B">
        <w:lastRenderedPageBreak/>
        <w:t>frau</w:t>
      </w:r>
      <w:r w:rsidR="00A22813">
        <w:t>d detection in campaign finance</w:t>
      </w:r>
      <w:r w:rsidRPr="00A6735B">
        <w:t xml:space="preserve">. The American Statistician. 61 (3): 218–223. </w:t>
      </w:r>
    </w:p>
    <w:p w:rsidR="00052EEF" w:rsidRDefault="00E72422" w:rsidP="002521A5">
      <w:pPr>
        <w:pStyle w:val="ListParagraph"/>
        <w:numPr>
          <w:ilvl w:val="0"/>
          <w:numId w:val="4"/>
        </w:numPr>
        <w:jc w:val="both"/>
      </w:pPr>
      <w:r>
        <w:t xml:space="preserve">R Core Team </w:t>
      </w:r>
      <w:proofErr w:type="gramStart"/>
      <w:r>
        <w:t xml:space="preserve">2018 </w:t>
      </w:r>
      <w:r w:rsidR="001615F6">
        <w:t>.</w:t>
      </w:r>
      <w:proofErr w:type="gramEnd"/>
      <w:r w:rsidR="001615F6">
        <w:t xml:space="preserve"> R: A language and environment for </w:t>
      </w:r>
      <w:proofErr w:type="gramStart"/>
      <w:r w:rsidR="001615F6">
        <w:t>statistical  computing</w:t>
      </w:r>
      <w:proofErr w:type="gramEnd"/>
      <w:r w:rsidR="001615F6">
        <w:t>. R Foundation for Statistical Computing, Vienna, Austria.</w:t>
      </w:r>
      <w:r w:rsidR="00052EEF">
        <w:t xml:space="preserve"> </w:t>
      </w:r>
      <w:r w:rsidR="001615F6">
        <w:t>URL https://www.R-project.org/.</w:t>
      </w:r>
    </w:p>
    <w:p w:rsidR="00052EEF" w:rsidRDefault="00052EEF" w:rsidP="002521A5">
      <w:pPr>
        <w:pStyle w:val="ListParagraph"/>
        <w:numPr>
          <w:ilvl w:val="0"/>
          <w:numId w:val="4"/>
        </w:numPr>
        <w:jc w:val="both"/>
      </w:pPr>
      <w:r w:rsidRPr="00052EEF">
        <w:t>Wickham</w:t>
      </w:r>
      <w:r w:rsidR="00E72422">
        <w:t>, H. 2017</w:t>
      </w:r>
      <w:r w:rsidRPr="00052EEF">
        <w:t xml:space="preserve">. </w:t>
      </w:r>
      <w:proofErr w:type="spellStart"/>
      <w:proofErr w:type="gramStart"/>
      <w:r w:rsidRPr="00052EEF">
        <w:t>tidyverse</w:t>
      </w:r>
      <w:proofErr w:type="spellEnd"/>
      <w:proofErr w:type="gramEnd"/>
      <w:r w:rsidRPr="00052EEF">
        <w:t>: Easily Install and Load the  '</w:t>
      </w:r>
      <w:proofErr w:type="spellStart"/>
      <w:r w:rsidRPr="00052EEF">
        <w:t>Tidyv</w:t>
      </w:r>
      <w:r>
        <w:t>erse</w:t>
      </w:r>
      <w:proofErr w:type="spellEnd"/>
      <w:r>
        <w:t>'. R package version1.2.1.</w:t>
      </w:r>
      <w:r w:rsidRPr="00052EEF">
        <w:t>https://CRAN.R-project.org/package=</w:t>
      </w:r>
      <w:proofErr w:type="spellStart"/>
      <w:r w:rsidRPr="00052EEF">
        <w:t>tidyverse</w:t>
      </w:r>
      <w:proofErr w:type="spellEnd"/>
      <w:r>
        <w:t>.</w:t>
      </w:r>
    </w:p>
    <w:p w:rsidR="00052EEF" w:rsidRDefault="00052EEF" w:rsidP="001615F6">
      <w:pPr>
        <w:jc w:val="both"/>
      </w:pPr>
    </w:p>
    <w:p w:rsidR="00052EEF" w:rsidRPr="00A6735B" w:rsidRDefault="00052EEF" w:rsidP="001615F6">
      <w:pPr>
        <w:jc w:val="both"/>
        <w:sectPr w:rsidR="00052EEF" w:rsidRPr="00A6735B" w:rsidSect="00A6735B">
          <w:type w:val="continuous"/>
          <w:pgSz w:w="12240" w:h="15840"/>
          <w:pgMar w:top="1440" w:right="1440" w:bottom="1440" w:left="1440" w:header="720" w:footer="720" w:gutter="0"/>
          <w:cols w:num="2" w:space="432"/>
          <w:docGrid w:linePitch="360"/>
        </w:sectPr>
      </w:pPr>
    </w:p>
    <w:p w:rsidR="00F078DC" w:rsidRPr="004644B3" w:rsidRDefault="00F078DC" w:rsidP="00565724">
      <w:pPr>
        <w:jc w:val="both"/>
        <w:rPr>
          <w:szCs w:val="24"/>
        </w:rPr>
      </w:pPr>
    </w:p>
    <w:p w:rsidR="00F078DC" w:rsidRPr="004644B3" w:rsidRDefault="00F078DC" w:rsidP="00565724">
      <w:pPr>
        <w:ind w:left="60"/>
        <w:jc w:val="both"/>
        <w:rPr>
          <w:szCs w:val="24"/>
        </w:rPr>
      </w:pPr>
    </w:p>
    <w:p w:rsidR="007748A4" w:rsidRPr="004644B3" w:rsidRDefault="007748A4" w:rsidP="004A695E">
      <w:pPr>
        <w:jc w:val="both"/>
        <w:rPr>
          <w:szCs w:val="24"/>
        </w:rPr>
      </w:pPr>
    </w:p>
    <w:sectPr w:rsidR="007748A4" w:rsidRPr="004644B3" w:rsidSect="00A6735B">
      <w:type w:val="continuous"/>
      <w:pgSz w:w="12240" w:h="15840"/>
      <w:pgMar w:top="1440" w:right="1440" w:bottom="1440" w:left="144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laimanLipi">
    <w:panose1 w:val="03000609000000000000"/>
    <w:charset w:val="00"/>
    <w:family w:val="script"/>
    <w:pitch w:val="fixed"/>
    <w:sig w:usb0="80018007" w:usb1="00002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Vrinda">
    <w:altName w:val="ESRI NIMA VMAP1&amp;2 PT"/>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65261"/>
    <w:multiLevelType w:val="hybridMultilevel"/>
    <w:tmpl w:val="281C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9245A"/>
    <w:multiLevelType w:val="hybridMultilevel"/>
    <w:tmpl w:val="3DFC5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F5D98"/>
    <w:multiLevelType w:val="hybridMultilevel"/>
    <w:tmpl w:val="D6F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4941C1"/>
    <w:multiLevelType w:val="multilevel"/>
    <w:tmpl w:val="648EF882"/>
    <w:lvl w:ilvl="0">
      <w:start w:val="1"/>
      <w:numFmt w:val="decimal"/>
      <w:lvlText w:val="%1."/>
      <w:lvlJc w:val="left"/>
      <w:pPr>
        <w:ind w:left="720" w:hanging="360"/>
      </w:pPr>
      <w:rPr>
        <w:rFonts w:hint="default"/>
      </w:rPr>
    </w:lvl>
    <w:lvl w:ilvl="1">
      <w:start w:val="1"/>
      <w:numFmt w:val="decimal"/>
      <w:isLgl/>
      <w:lvlText w:val="%1.%2"/>
      <w:lvlJc w:val="left"/>
      <w:pPr>
        <w:ind w:left="720"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5C"/>
    <w:rsid w:val="0000677E"/>
    <w:rsid w:val="0003257E"/>
    <w:rsid w:val="00043B01"/>
    <w:rsid w:val="00052EEF"/>
    <w:rsid w:val="00076045"/>
    <w:rsid w:val="00083B25"/>
    <w:rsid w:val="000B24C5"/>
    <w:rsid w:val="000C723B"/>
    <w:rsid w:val="00104F5C"/>
    <w:rsid w:val="0013174A"/>
    <w:rsid w:val="001615F6"/>
    <w:rsid w:val="00185243"/>
    <w:rsid w:val="00185EEE"/>
    <w:rsid w:val="0019456A"/>
    <w:rsid w:val="001947E0"/>
    <w:rsid w:val="00212488"/>
    <w:rsid w:val="00236923"/>
    <w:rsid w:val="00245086"/>
    <w:rsid w:val="002521A5"/>
    <w:rsid w:val="00252A2B"/>
    <w:rsid w:val="00266CBF"/>
    <w:rsid w:val="00291B09"/>
    <w:rsid w:val="002A1A48"/>
    <w:rsid w:val="002A7E27"/>
    <w:rsid w:val="00324A1D"/>
    <w:rsid w:val="00356905"/>
    <w:rsid w:val="003667EB"/>
    <w:rsid w:val="003913A3"/>
    <w:rsid w:val="00394211"/>
    <w:rsid w:val="003A1A5D"/>
    <w:rsid w:val="003C7B24"/>
    <w:rsid w:val="003F07F1"/>
    <w:rsid w:val="004006D0"/>
    <w:rsid w:val="00405BAD"/>
    <w:rsid w:val="0042236E"/>
    <w:rsid w:val="004323B5"/>
    <w:rsid w:val="00463370"/>
    <w:rsid w:val="00464420"/>
    <w:rsid w:val="004644B3"/>
    <w:rsid w:val="004723C5"/>
    <w:rsid w:val="00491D68"/>
    <w:rsid w:val="004A695E"/>
    <w:rsid w:val="005262F0"/>
    <w:rsid w:val="00565724"/>
    <w:rsid w:val="005737B1"/>
    <w:rsid w:val="005969B8"/>
    <w:rsid w:val="005A2E1C"/>
    <w:rsid w:val="005E2D32"/>
    <w:rsid w:val="006B349C"/>
    <w:rsid w:val="00712677"/>
    <w:rsid w:val="00720E61"/>
    <w:rsid w:val="00755BCE"/>
    <w:rsid w:val="007748A4"/>
    <w:rsid w:val="00776712"/>
    <w:rsid w:val="00797F82"/>
    <w:rsid w:val="007A468F"/>
    <w:rsid w:val="007C47DE"/>
    <w:rsid w:val="007C5086"/>
    <w:rsid w:val="007D32B9"/>
    <w:rsid w:val="007F4F6E"/>
    <w:rsid w:val="007F5AC0"/>
    <w:rsid w:val="007F7AD9"/>
    <w:rsid w:val="00806B82"/>
    <w:rsid w:val="00867C25"/>
    <w:rsid w:val="00882602"/>
    <w:rsid w:val="008A2EF4"/>
    <w:rsid w:val="00907AC8"/>
    <w:rsid w:val="00957C6E"/>
    <w:rsid w:val="00974174"/>
    <w:rsid w:val="009B1356"/>
    <w:rsid w:val="009B345E"/>
    <w:rsid w:val="009B631A"/>
    <w:rsid w:val="009C7951"/>
    <w:rsid w:val="009E1D51"/>
    <w:rsid w:val="00A22813"/>
    <w:rsid w:val="00A27F46"/>
    <w:rsid w:val="00A46F32"/>
    <w:rsid w:val="00A470B3"/>
    <w:rsid w:val="00A66AC1"/>
    <w:rsid w:val="00A6735B"/>
    <w:rsid w:val="00A72A4B"/>
    <w:rsid w:val="00A77476"/>
    <w:rsid w:val="00A90328"/>
    <w:rsid w:val="00AA0E05"/>
    <w:rsid w:val="00AA2AA2"/>
    <w:rsid w:val="00AC5617"/>
    <w:rsid w:val="00AE181D"/>
    <w:rsid w:val="00B2245E"/>
    <w:rsid w:val="00B5128B"/>
    <w:rsid w:val="00B53DB4"/>
    <w:rsid w:val="00BD7FE5"/>
    <w:rsid w:val="00BF6F64"/>
    <w:rsid w:val="00C3005A"/>
    <w:rsid w:val="00C476E5"/>
    <w:rsid w:val="00C63E23"/>
    <w:rsid w:val="00C71490"/>
    <w:rsid w:val="00CA14F1"/>
    <w:rsid w:val="00CA3963"/>
    <w:rsid w:val="00D33B7F"/>
    <w:rsid w:val="00D40CA0"/>
    <w:rsid w:val="00D7579B"/>
    <w:rsid w:val="00DC1707"/>
    <w:rsid w:val="00E45B38"/>
    <w:rsid w:val="00E72422"/>
    <w:rsid w:val="00E8491B"/>
    <w:rsid w:val="00E9485D"/>
    <w:rsid w:val="00EE7B70"/>
    <w:rsid w:val="00EF51FD"/>
    <w:rsid w:val="00EF7366"/>
    <w:rsid w:val="00F078DC"/>
    <w:rsid w:val="00F274B3"/>
    <w:rsid w:val="00F372E0"/>
    <w:rsid w:val="00F4187A"/>
    <w:rsid w:val="00FD570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81D"/>
    <w:pPr>
      <w:ind w:left="720"/>
      <w:contextualSpacing/>
    </w:pPr>
    <w:rPr>
      <w:lang w:bidi="ar-SA"/>
    </w:rPr>
  </w:style>
  <w:style w:type="table" w:styleId="TableGrid">
    <w:name w:val="Table Grid"/>
    <w:basedOn w:val="TableNormal"/>
    <w:uiPriority w:val="59"/>
    <w:rsid w:val="00AE1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181D"/>
    <w:rPr>
      <w:color w:val="0000FF" w:themeColor="hyperlink"/>
      <w:u w:val="single"/>
    </w:rPr>
  </w:style>
  <w:style w:type="paragraph" w:styleId="BalloonText">
    <w:name w:val="Balloon Text"/>
    <w:basedOn w:val="Normal"/>
    <w:link w:val="BalloonTextChar"/>
    <w:uiPriority w:val="99"/>
    <w:semiHidden/>
    <w:unhideWhenUsed/>
    <w:rsid w:val="00AE181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E181D"/>
    <w:rPr>
      <w:rFonts w:ascii="Tahoma" w:hAnsi="Tahoma" w:cs="Tahoma"/>
      <w:sz w:val="16"/>
      <w:szCs w:val="20"/>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SolaimanLipi"/>
        <w:sz w:val="24"/>
        <w:szCs w:val="3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81D"/>
    <w:pPr>
      <w:ind w:left="720"/>
      <w:contextualSpacing/>
    </w:pPr>
    <w:rPr>
      <w:lang w:bidi="ar-SA"/>
    </w:rPr>
  </w:style>
  <w:style w:type="table" w:styleId="TableGrid">
    <w:name w:val="Table Grid"/>
    <w:basedOn w:val="TableNormal"/>
    <w:uiPriority w:val="59"/>
    <w:rsid w:val="00AE1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E181D"/>
    <w:rPr>
      <w:color w:val="0000FF" w:themeColor="hyperlink"/>
      <w:u w:val="single"/>
    </w:rPr>
  </w:style>
  <w:style w:type="paragraph" w:styleId="BalloonText">
    <w:name w:val="Balloon Text"/>
    <w:basedOn w:val="Normal"/>
    <w:link w:val="BalloonTextChar"/>
    <w:uiPriority w:val="99"/>
    <w:semiHidden/>
    <w:unhideWhenUsed/>
    <w:rsid w:val="00AE181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E181D"/>
    <w:rPr>
      <w:rFonts w:ascii="Tahoma" w:hAnsi="Tahoma" w:cs="Tahoma"/>
      <w:sz w:val="16"/>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69</cp:revision>
  <cp:lastPrinted>2018-10-04T22:43:00Z</cp:lastPrinted>
  <dcterms:created xsi:type="dcterms:W3CDTF">2018-10-04T18:09:00Z</dcterms:created>
  <dcterms:modified xsi:type="dcterms:W3CDTF">2018-12-31T17:28:00Z</dcterms:modified>
</cp:coreProperties>
</file>