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Thesis Project Proposal (Revision 2)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Cost-Aware Reasoning Routing: An Empirical Study of Open-Weight Reasoning Models for Code Generation with an Adaptive Model-and-Effort Routing Framework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Short Title: Smart Routing Beats Smart Models: Cost-Aware Code Generation with Open-Weight Reasoners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Revision note: updated model roster, related-work gap analysis, refined effort-control methodology, and a training-free CARR design (rule-based + nearest-neighbor) (July 2026)</w:t>
      </w:r>
    </w:p>
    <w:p>
      <w:pPr>
        <w:pStyle w:val="Heading1"/>
        <w:spacing w:after="160" w:before="360"/>
      </w:pPr>
      <w:r>
        <w:t xml:space="preserve">1. Abstract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Modern open-weight reasoning Large Language Models (LLMs) — such as DeepSeek-V4, Kimi K2.6/K2.7, GLM-5.1/5.2, and Qwen3.5/3.6 — have demonstrated exceptional performance in complex tasks like code generation. However, these models often consume several times more tokens than non-reasoning models due to extensive internal reasoning traces, and — as of 2026 — many now expose native, discrete “thinking modes” (e.g., Non-think / Think-High / Think-Max) rather than a single fixed reasoning behavior. Currently, the cost-accuracy tradeoffs of these models and their thinking modes in software engineering remain poorly characterized, and existing routing and budget-control methods are either validated only on mathematical benchmarks, address only model selection, or address only reasoning-effort control — never both jointly, and never with a router cheap enough to run before any model is called.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thesis addresses these gaps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Providing a systematic Pareto-frontier analysis of five or more current open-weight reasoning models, each evaluated across their available thinking modes, on three diverse code benchmarks: HumanEval+, MBPP, and LiveCodeBench.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Proposing CARR (Cost-Aware Reasoning Router), a training-free, pre-inference routing framework that selects the optimal (model, reasoning_effort) configuration for a given problem using only cheap, non-LLM structural and lexical features and a nearest-neighbor lookup against previously evaluated problems — i.e., without a forward pass through any candidate model, without access to model-internal hidden states, and without a model-fitting/training step of any kind.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Demonstrating that CARR achieves approximately 90–95% of the accuracy of the strongest single configuration while reducing operational cost by 60–70%, and generalizes to at least one held-out model not seen during router training.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developed code, datasets, and experimental results will be released as open-source artifacts.</w:t>
      </w:r>
    </w:p>
    <w:p>
      <w:pPr>
        <w:pStyle w:val="Heading1"/>
        <w:spacing w:after="160" w:before="360"/>
      </w:pPr>
      <w:r>
        <w:t xml:space="preserve">2. Motivation and Problem Statement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Code generation is a critical application of LLMs, powering tools like GitHub Copilot and Cursor. While reasoning models improve accuracy on complex coding problems, their token consumption presents a real economic barrier at scale. For developers and enterprises, the challenge is not simply identifying the most accurate model, but identifying the configuration — model and reasoning effort together — that gives the best accuracy per unit cost: the Pareto frontier.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close reading of the current routing and budget-control literature (Section 3) confirms three persisting gaps this thesis is positioned to fill: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 specificity: existing budget-control work (e.g., inference-time thinking-length steering, RL-trained anytime reasoners) is validated almost exclusively on mathematics benchmarks (MATH-500, AIME, GSM8K), leaving code generation — with its syntactic and compositional structure and unit-test-based verification — largely unstudied.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Single-axis routing: model-routing work selects only between models (never reasoning effort), while reasoning-length-control work operates on a single fixed model (never selects between models). No existing method treats (model × effort) as one joint discrete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Router cost and access assumptions: state-of-the-art model routers require preference-labeled training data, embeddings, or a fine-tuned classifier; state-of-the-art effort controllers require access to a model's internal hidden states at every decoding step. Neither assumption holds for a practical, provider-agnostic, pre-inference router operating purely on the incoming prompt.</w:t>
      </w:r>
    </w:p>
    <w:p>
      <w:pPr>
        <w:pStyle w:val="Heading1"/>
        <w:spacing w:after="160" w:before="360"/>
      </w:pPr>
      <w:r>
        <w:t xml:space="preserve">3. Related Work and Gap Analysis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Four recent works most directly bound the design space for this thesis. The table below summarizes what each contributes and, more importantly, what it explicitly does not address — which is where CARR is positioned.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relative to CARR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RouteLLM (Ong et al., ICLR 2025)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Learns a binary strong/weak model router from human preference data (Chatbot Arena); evaluated on MMLU, MT-Bench, GSM8K.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2 candidate models, no reasoning-effort axis, general chat domain (not code), router itself needs embeddings or a fine-tuned BERT/causal-LM classifier — not a “cheap-feature” router.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Universal LLM Routing with Correctness-Based Representation (Jitkrittum et al., SCOPE-ICLR 2025)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Routes to LLMs unseen at training time via cluster-based correctness vectors, avoiding retraining per new model.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Still model-only routing (no effort axis); evaluated on EmbedLLM/MixInstruct/RouterBench, not code; useful as a mechanism for CARR's out-of-distribution router (RQ5), not as a full solution.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Guidance (Li et al., ACL Findings 2026)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Inference-time, fine-tuning-free steering of a single model's thinking length via a lightweight auxiliary predictor over hidden states.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Requires white-box access to hidden states at every decoding step — incompatible with a provider-agnostic API router; single fixed model only, no model selection; math-domain trained (some code transfer shown on LiveCodeBench, but not the focus).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AnytimeReasoner / BRPO (Qi et al., NeurIPS 2025)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RL training recipe (BRPO) that makes one model perform well across sampled thinking budgets, using dense verifiable rewards.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Requires fine-tuning each target model — infeasible for a multi-model undergraduate study; single model, no routing; math-domain only.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Positioning statement: </w:t>
      </w:r>
      <w:r>
        <w:rPr>
          <w:rFonts w:ascii="Calibri" w:cs="Calibri" w:eastAsia="Calibri" w:hAnsi="Calibri"/>
          <w:sz w:val="22"/>
          <w:szCs w:val="22"/>
        </w:rPr>
        <w:t xml:space="preserve">no existing method performs pre-inference, feature-only, joint (model × effort) routing for code generation. CARR combines the model-selection framing of RouteLLM / Universal Routing with the effort-control framing of Budget Guidance / AnytimeReasoner, but implements effort control through each model's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native thinking-mode switch</w:t>
      </w:r>
      <w:r>
        <w:rPr>
          <w:rFonts w:ascii="Calibri" w:cs="Calibri" w:eastAsia="Calibri" w:hAnsi="Calibri"/>
          <w:sz w:val="22"/>
          <w:szCs w:val="22"/>
        </w:rPr>
        <w:t xml:space="preserve"> or, where unavailable, through prompt-level budget truncation — rather than through white-box hidden-state steering or RL fine-tuning. This keeps the router cheap and provider-agnostic, which is the thesis's central practical contribution.</w:t>
      </w:r>
    </w:p>
    <w:p>
      <w:pPr>
        <w:spacing w:after="240" w:line="276"/>
      </w:pPr>
      <w:r>
        <w:rPr>
          <w:rFonts w:ascii="Calibri" w:cs="Calibri" w:eastAsia="Calibri" w:hAnsi="Calibri"/>
          <w:sz w:val="22"/>
          <w:szCs w:val="22"/>
        </w:rPr>
        <w:t xml:space="preserve">A further point of novelty: </w:t>
      </w:r>
      <w:r>
        <w:rPr>
          <w:rFonts w:ascii="Calibri" w:cs="Calibri" w:eastAsia="Calibri" w:hAnsi="Calibri"/>
          <w:sz w:val="22"/>
          <w:szCs w:val="22"/>
        </w:rPr>
        <w:t xml:space="preserve">both RouteLLM and Universal Routing still require a training or fitting step — RouteLLM trains a preference-based classifier on Chatbot Arena labels, and Universal Routing fits per-cluster correctness vectors on a validation set. CARR requires neither. Its two variants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CARR-rules</w:t>
      </w:r>
      <w:r>
        <w:rPr>
          <w:rFonts w:ascii="Calibri" w:cs="Calibri" w:eastAsia="Calibri" w:hAnsi="Calibri"/>
          <w:sz w:val="22"/>
          <w:szCs w:val="22"/>
        </w:rPr>
        <w:t xml:space="preserve"> (hand-authored heuristics derived from the Pareto analysis in RQ1–RQ3)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CARR-knn</w:t>
      </w:r>
      <w:r>
        <w:rPr>
          <w:rFonts w:ascii="Calibri" w:cs="Calibri" w:eastAsia="Calibri" w:hAnsi="Calibri"/>
          <w:sz w:val="22"/>
          <w:szCs w:val="22"/>
        </w:rPr>
        <w:t xml:space="preserve"> (nearest-neighbor lookup against previously evaluated problems) — involve no parameter fitting, no train/validation loss, and no risk of classifier overfitting, while remaining directly comparable to the k-NN-style baselines already used in both prior routing papers.</w:t>
      </w:r>
    </w:p>
    <w:p>
      <w:pPr>
        <w:pStyle w:val="Heading1"/>
        <w:spacing w:after="160" w:before="360"/>
      </w:pPr>
      <w:r>
        <w:t xml:space="preserve">4. Research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RQ1 (Empirical Landscape): What is the current Pareto frontier of cost versus accuracy for open-weight reasoning models — across their available thinking modes — in code generation?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RQ2 (Task Generalization): How does the Pareto ranking of (model, effort) configurations shift across benchmarks of varying difficulty, from HumanEval+ to LiveCodeBench?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RQ3 (Token/Effort Efficiency): What is the relationship between reasoning-token consumption (or thinking-mode level) and problem difficulty, and at what point does additional reasoning effort yield diminishing accuracy returns?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RQ4 (Routing Novelty): Can a training-free router (rule-based heuristics and/or nearest-neighbor lookup), using only problem-level features, outperform any single fixed (model, effort) configuration on the cost-accuracy frontier?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RQ5 (Method Generalization): Does CARR maintain effectiveness (a) on out-of-distribution benchmarks and (b) on a model held out entirely from router training, using a correctness-based cluster representation adapted from Jitkrittum et al. (2025)?</w:t>
      </w:r>
    </w:p>
    <w:p>
      <w:pPr>
        <w:pStyle w:val="Heading1"/>
        <w:spacing w:after="160" w:before="360"/>
      </w:pPr>
      <w:r>
        <w:t xml:space="preserve">5. Proposed Methodology: CARR</w:t>
      </w:r>
    </w:p>
    <w:p>
      <w:pPr>
        <w:pStyle w:val="Heading2"/>
        <w:spacing w:after="120" w:before="280"/>
      </w:pPr>
      <w:r>
        <w:t xml:space="preserve">5.1 Routing Configurations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CARR routes between a set of (model, reasoning_effort) configurations drawn from the current model roster (Section 6.1). Effort is operationalized per model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Native thinking-mode models (e.g., DeepSeek-V4-Flash: Non-think / Think-High; GLM-5.1: High / Max): effort level maps directly to the documented API/parameter setting.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Models without a native mode switch: effort is approximated via prompt-level budget forcing (hard token cutoff on the reasoning trace, following Muennighoff et al., 2025), giving “low” and “high” effort tiers by token budget rather than mode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no-reasoning / small-model tier is always included as the cheapest baseline configuration.</w:t>
      </w:r>
    </w:p>
    <w:p>
      <w:pPr>
        <w:pStyle w:val="Heading2"/>
        <w:spacing w:after="120" w:before="280"/>
      </w:pPr>
      <w:r>
        <w:t xml:space="preserve">5.2 Feature Extraction (unchanged in spirit, refined)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Lexical features: prompt length, number of test cases, function signature count, presence of I/O examples.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Structural/keyword features: presence of complexity-indicating terms (“dynamic programming”, “optimal”, “graph”), data-structure requirements, estimated cyclomatic complexity of any provided starter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Embedding features: low-dimensional embeddings from a lightweight local encoder (e.g., a small BGE/Gecko-class model) for nearest-neighbor / cluster-based similarity, as used in the correctness-based routing baseline (RQ5).</w:t>
      </w:r>
    </w:p>
    <w:p>
      <w:pPr>
        <w:pStyle w:val="Heading2"/>
        <w:spacing w:after="120" w:before="280"/>
      </w:pPr>
      <w:r>
        <w:t xml:space="preserve">5.3 Training-Free Routing and Evaluation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CARR requires no training or fitting phase. Each problem in the collected dataset is paired with the measured accuracy and cost of every (model, effort) configuration; the routing objective is the cheapest configuration that passes all unit tests. Two training-free variants are implemented: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CARR-rules: a small set of hand-authored heuristics (e.g., “route to the cheapest configuration unless the prompt contains a complexity keyword or exceeds N test cases, in which case escalate effort”) derived directly from the patterns observed in the RQ1–RQ3 Pareto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CARR-knn (primary method): for a new problem, compute its feature vector (Section 5.2), retrieve its k nearest neighbors by embedding similarity from a build set of already-evaluated problems, and route to whichever configuration was cheapest-passing most often among those neighbors. No parameters are fit; “lookup” replaces “training.”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Problems are split 80/20 into a build set and a held-out test set (once, reused across all evaluations below) so that CARR-knn's generalization to unseen problems can be honestly assessed rather than measured on problems it has already “seen.” Evaluation then proceeds across four scenarios: CARR-static (test set drawn from the same benchmark as the build set), CARR-cross (test set drawn from a different benchmark, RQ2), CARR-oracle (a theoretical upper bound assuming perfect knowledge of every configuration's outcome, used only as a ceiling reference — not a variant of CARR itself), and CARR-ood (a model held out entirely from the build set, RQ5), which reuses the cluster-based correctness representation from Jitkrittum et al. (2025) rather than requiring any retraining.</w:t>
      </w:r>
    </w:p>
    <w:p>
      <w:pPr>
        <w:pStyle w:val="Heading1"/>
        <w:spacing w:after="160" w:before="360"/>
      </w:pPr>
      <w:r>
        <w:t xml:space="preserve">6. Experimental Design</w:t>
      </w:r>
    </w:p>
    <w:p>
      <w:pPr>
        <w:pStyle w:val="Heading2"/>
        <w:spacing w:after="120" w:before="280"/>
      </w:pPr>
      <w:r>
        <w:t xml:space="preserve">6.1 Updated Model Roster (July 2026)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original proposal's model list (DeepSeek-R1, Kimi K2-Thinking, GLM-4.7, Qwen2.5-Coder, DeepSeek-V3, Claude 3.5 Haiku, GPT-4o-mini) is superseded. Updated roster, selected for license clarity, thinking-mode availability, and realistic API/self-hosting access: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200"/>
        <w:gridCol w:w="1400"/>
      </w:tblGrid>
      <w:t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 / role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control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DeepSeek-V4-Flash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Cost-efficient reasoner (mid tier)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Native: Non-think / Think-High / Think-Max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DeepSeek-V4-Pro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Frontier open-weight reasoner (high tier)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thinking modes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Kimi K2.6 or K2.7-Code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Strong agentic/coding specialist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Budget-forcing (no native mode as of writing — verify at build time)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Modified 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GLM-5.1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Long-horizon coding, mid-high tier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Native: High / Max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Qwen3.6 (27B or Plus)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Cheap / local baseline, permissive license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thinking toggle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Small non-reasoning baseline (e.g., a Qwen3.6 27B non-think or similar)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Cheapest tier / no-reasoning baseline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N/A (reasoning off)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1–2 closed-model baselines (current small-tier Claude/GPT model at proposal-finalization time)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Closed-model reference point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Native effort parameter if available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Proprietary API</w:t>
            </w:r>
          </w:p>
        </w:tc>
      </w:tr>
    </w:tbl>
    <w:p>
      <w:pPr>
        <w:spacing w:after="2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this list should be re-verified against current pricing, availability, and thinking-mode documentation immediately before the data-collection phase begins (Weeks 1–2) — the open-weight landscape has moved roughly every 6–8 weeks through 2026, so a roster fixed too early in planning risks being outdated by the time experiments run.</w:t>
      </w:r>
    </w:p>
    <w:p>
      <w:pPr>
        <w:pStyle w:val="Heading2"/>
        <w:spacing w:after="120" w:before="280"/>
      </w:pPr>
      <w:r>
        <w:t xml:space="preserve">6.2 Benchmarks (unchanged)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HumanEval+: 164 problems (Easy/Medium)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MBPP: 500 sampled problems (Easy)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LiveCodeBench: 200 sampled problems (Hard) — use a recent, non-overlapping problem window to avoid training-data contamination, following the filtering approach in Guo et al. (2025).</w:t>
      </w:r>
    </w:p>
    <w:p>
      <w:pPr>
        <w:pStyle w:val="Heading2"/>
        <w:spacing w:after="120" w:before="280"/>
      </w:pPr>
      <w:r>
        <w:t xml:space="preserve">6.3 Metrics (unchanged)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Pass@1: primary accuracy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Cost-per-Correct-Answer (CPC): headline economic-efficiency metric.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Tokens-per-Correct-Answer (TPC): raw token-efficiency measure.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Reasoning-to-Output Ratio: thinking effort vs. final-answer length.</w:t>
      </w:r>
    </w:p>
    <w:p>
      <w:pPr>
        <w:pStyle w:val="Heading1"/>
        <w:spacing w:after="160" w:before="360"/>
      </w:pPr>
      <w:r>
        <w:t xml:space="preserve">7. Implementation Plan and Deliverables</w:t>
      </w:r>
    </w:p>
    <w:p>
      <w:pPr>
        <w:pStyle w:val="Heading2"/>
        <w:spacing w:after="120" w:before="280"/>
      </w:pPr>
      <w:r>
        <w:t xml:space="preserve">7.1 Deliverables (unchanged)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Evaluation Pipeline: Python harness for multi-model benchmarking and sandboxed code execution (e.g., evalplus).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CARR Framework: feature extraction, router training, inference.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Dataset: SQLite database of all model outputs, reasoning traces, and cost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Thesis Paper: formal document detailing findings and methodology, including the related-work gap analysis in Section 3 above.</w:t>
      </w:r>
    </w:p>
    <w:p>
      <w:pPr>
        <w:pStyle w:val="Heading2"/>
        <w:spacing w:after="120" w:before="280"/>
      </w:pPr>
      <w:r>
        <w:t xml:space="preserve">7.2 Timeline (12 Weeks, revised)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800"/>
      </w:tblGrid>
      <w:tr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7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Finalize model roster against live pricing/availability; literature review; environment + harness setup; verify thinking-mode / effort-control mechanism per model.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Baseline data collection (all models × all effort levels × all benchmarks) and Pareto-frontier analysis (RQ1–RQ3).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6–7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Reasoning-effort variation studies; LiveCodeBench integration; contamination checks.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8–10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CARR development, training, ablations (feature sets, static/cross/oracle/ood variants, RQ4–RQ5).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writing, polish, submission.</w:t>
            </w:r>
          </w:p>
        </w:tc>
      </w:tr>
    </w:tbl>
    <w:p>
      <w:pPr>
        <w:pStyle w:val="Heading1"/>
        <w:spacing w:after="160" w:before="360"/>
      </w:pPr>
      <w:r>
        <w:t xml:space="preserve">8. Risks and Mitigations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600"/>
      </w:tblGrid>
      <w:t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budget overrun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lower-cost providers (e.g., DeepSeek/Kimi native APIs), aggressive response caching, and cap effort-level sampling on the largest benchmark first.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 deprecation / roster churn mid-project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(raised from Low)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Re-verify roster at Week 1–2 (not at proposal time); lock versions immediately after; document exact model snapshot dates in the final thesis for reproducibility.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Effort-control mechanism inconsistent across models (native mode vs. budget forcing)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(new)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Treat effort-control method itself as a logged experimental variable; report results split by control mechanism, not just by nominal “low/high” label.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Negative results for CARR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Reframe as a study on the limits of joint routing for code generation; the Pareto-frontier analysis (RQ1–RQ3) stands as a publishable contribution independent of CARR's performance.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Execution safety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established sandboxing libraries (e.g., evalplus).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CARR-knn lookup cost/latency at query time (new)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Dataset size (~800 problems) is small enough that brute-force nearest-neighbor search is sub-millisecond; no approximate-NN library needed.</w:t>
            </w:r>
          </w:p>
        </w:tc>
      </w:tr>
    </w:tbl>
    <w:p>
      <w:pPr>
        <w:pStyle w:val="Heading1"/>
        <w:spacing w:after="160" w:before="360"/>
      </w:pPr>
      <w:r>
        <w:t xml:space="preserve">9. Conclusion and Expected Impact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research provides the first systematic evaluation of current-generation open-weight reasoning models — across their native thinking modes — in a code-specific context, and the first router to jointly select model and reasoning effort using only cheap, pre-inference features. Positioned explicitly against RouteLLM, Universal Routing, Budget Guidance, and AnytimeReasoner (Section 3), CARR demonstrates that intelligent, provider-agnostic routing can bridge the gap between high-cost reasoning and low-cost execution, making advanced AI coding capabilities more accessible and sustainable for the software engineering community.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2026-07-11T14:28:43.598Z</dcterms:created>
  <dcterms:modified xsi:type="dcterms:W3CDTF">2026-07-11T14:28:43.611Z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