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Personalized Migraine Mitigation via EEG Spectrograms and Binaural Beats</w:t>
      </w:r>
    </w:p>
    <w:p>
      <w:pPr>
        <w:pStyle w:val="Heading1"/>
      </w:pPr>
      <w:r>
        <w:t>Complete project documentation</w:t>
      </w:r>
    </w:p>
    <w:p>
      <w:r>
        <w:rPr>
          <w:b/>
          <w:i w:val="0"/>
        </w:rPr>
        <w:t>Project type:</w:t>
      </w:r>
      <w:r>
        <w:t xml:space="preserve"> Final Year Design Project (FYDP-III)</w:t>
      </w:r>
    </w:p>
    <w:p>
      <w:r>
        <w:rPr>
          <w:b/>
          <w:i w:val="0"/>
        </w:rPr>
        <w:t>Primary domain:</w:t>
      </w:r>
      <w:r>
        <w:t xml:space="preserve"> Biomedical signal processing, computational neuroscience, EEG-based machine learning, medical image classification, and non-invasive auditory neuromodulation</w:t>
      </w:r>
    </w:p>
    <w:p>
      <w:r>
        <w:rPr>
          <w:b/>
          <w:i w:val="0"/>
        </w:rPr>
        <w:t>Target condition:</w:t>
      </w:r>
      <w:r>
        <w:t xml:space="preserve"> Migraine</w:t>
      </w:r>
    </w:p>
    <w:p>
      <w:r>
        <w:rPr>
          <w:b/>
          <w:i w:val="0"/>
        </w:rPr>
        <w:t>Input modality:</w:t>
      </w:r>
      <w:r>
        <w:t xml:space="preserve"> Multichannel scalp electroencephalography (EEG) recorded in BioSemi BDF format</w:t>
      </w:r>
    </w:p>
    <w:p>
      <w:r>
        <w:rPr>
          <w:b/>
          <w:i w:val="0"/>
        </w:rPr>
        <w:t>Diagnostic representation:</w:t>
      </w:r>
      <w:r>
        <w:t xml:space="preserve"> Short-time Fourier transform (STFT) spectrograms</w:t>
      </w:r>
    </w:p>
    <w:p>
      <w:r>
        <w:rPr>
          <w:b/>
          <w:i w:val="0"/>
        </w:rPr>
        <w:t>Diagnostic models:</w:t>
      </w:r>
      <w:r>
        <w:t xml:space="preserve"> Transfer-learned VGG16, ResNet50, and EfficientNetB7</w:t>
      </w:r>
    </w:p>
    <w:p>
      <w:r>
        <w:rPr>
          <w:b/>
          <w:i w:val="0"/>
        </w:rPr>
        <w:t>Treatment representation:</w:t>
      </w:r>
      <w:r>
        <w:t xml:space="preserve"> Individual Alpha Frequency (IAF) extracted from a resting-state spectrogram</w:t>
      </w:r>
    </w:p>
    <w:p>
      <w:r>
        <w:rPr>
          <w:b/>
          <w:i w:val="0"/>
        </w:rPr>
        <w:t>Treatment output:</w:t>
      </w:r>
      <w:r>
        <w:t xml:space="preserve"> Personalized stereo binaural-beat WAV audio</w:t>
      </w:r>
    </w:p>
    <w:p>
      <w:pPr>
        <w:pStyle w:val="IntenseQuote"/>
      </w:pPr>
      <w:r>
        <w:rPr>
          <w:b/>
          <w:i w:val="0"/>
        </w:rPr>
        <w:t>Scope and interpretation.</w:t>
      </w:r>
      <w:r>
        <w:t xml:space="preserve"> This document explains the code and results that are present in the repository. It does not claim that the current experiments constitute a clinical diagnostic or therapeutic device. The dataset is small, the image split is not subject-independent, and the audio-generation notebook is a signal-synthesis prototype rather than a clinical trial.</w:t>
      </w:r>
    </w:p>
    <w:p>
      <w:pPr>
        <w:spacing w:after="40"/>
      </w:pPr>
      <w:r/>
    </w:p>
    <w:p>
      <w:pPr>
        <w:pStyle w:val="Heading1"/>
      </w:pPr>
      <w:r>
        <w:t>1. Executive overview</w:t>
      </w:r>
    </w:p>
    <w:p>
      <w:r>
        <w:t>The repository implements a staged pipeline:</w:t>
      </w:r>
    </w:p>
    <w:p>
      <w:pPr>
        <w:pStyle w:val="NoSpacing"/>
        <w:spacing w:before="60" w:after="100"/>
        <w:ind w:left="360"/>
        <w:shd w:fill="F2F2F2"/>
      </w:pPr>
      <w:r>
        <w:rPr>
          <w:rFonts w:ascii="Consolas" w:hAnsi="Consolas" w:eastAsia="Consolas"/>
          <w:color w:val="282828"/>
          <w:sz w:val="17"/>
        </w:rPr>
        <w:t>Raw EEG BDF files</w:t>
        <w:br/>
        <w:t xml:space="preserve">        |</w:t>
        <w:br/>
        <w:t xml:space="preserve">        v</w:t>
        <w:br/>
        <w:t>MNE loading, channel selection, average reference, 1-50 Hz filtering,</w:t>
        <w:br/>
        <w:t>60 Hz notch filtering</w:t>
        <w:br/>
        <w:t xml:space="preserve">        |</w:t>
        <w:br/>
        <w:t xml:space="preserve">        v</w:t>
        <w:br/>
        <w:t>STFT spectrogram for every EEG channel</w:t>
        <w:br/>
        <w:t xml:space="preserve">        |</w:t>
        <w:br/>
        <w:t xml:space="preserve">        v</w:t>
        <w:br/>
        <w:t>Fixed-size .npy tensors and channel-80 PNG spectrograms</w:t>
        <w:br/>
        <w:t xml:space="preserve">        |</w:t>
        <w:br/>
        <w:t xml:space="preserve">        +------------------------------+</w:t>
        <w:br/>
        <w:t xml:space="preserve">        |                              |</w:t>
        <w:br/>
        <w:t xml:space="preserve">        v                              v</w:t>
        <w:br/>
        <w:t>CNN migraine/control classification   Spectrogram inversion</w:t>
        <w:br/>
        <w:t>VGG16, ResNet50, EfficientNetB7       band powers, IAF, TAR, TBR</w:t>
        <w:br/>
        <w:t xml:space="preserve">        |                              |</w:t>
        <w:br/>
        <w:t xml:space="preserve">        v                              v</w:t>
        <w:br/>
        <w:t>Classification metrics                Personalized binaural-beat WAV</w:t>
      </w:r>
    </w:p>
    <w:p>
      <w:r>
        <w:t>There are two related but distinct uses of the spectrograms:</w:t>
      </w:r>
    </w:p>
    <w:p>
      <w:pPr>
        <w:pStyle w:val="ListNumber"/>
      </w:pPr>
      <w:r>
        <w:rPr>
          <w:b/>
          <w:i w:val="0"/>
        </w:rPr>
        <w:t>Detection:</w:t>
      </w:r>
      <w:r>
        <w:t xml:space="preserve"> A CNN learns to classify a rendered spectrogram image as </w:t>
      </w:r>
      <w:r>
        <w:rPr>
          <w:rFonts w:ascii="Consolas" w:hAnsi="Consolas" w:eastAsia="Consolas"/>
          <w:sz w:val="18"/>
        </w:rPr>
        <w:t>Control</w:t>
      </w:r>
      <w:r>
        <w:t xml:space="preserve"> or </w:t>
      </w:r>
      <w:r>
        <w:rPr>
          <w:rFonts w:ascii="Consolas" w:hAnsi="Consolas" w:eastAsia="Consolas"/>
          <w:sz w:val="18"/>
        </w:rPr>
        <w:t>Migraine</w:t>
      </w:r>
      <w:r>
        <w:t>.</w:t>
      </w:r>
    </w:p>
    <w:p>
      <w:pPr>
        <w:pStyle w:val="ListNumber"/>
      </w:pPr>
      <w:r>
        <w:rPr>
          <w:b/>
          <w:i w:val="0"/>
        </w:rPr>
        <w:t>Personalization:</w:t>
      </w:r>
      <w:r>
        <w:t xml:space="preserve"> The treatment notebook reverses the image colormap to estimate spectral power, locates the subject's alpha peak, and uses that frequency as the binaural beat difference.</w:t>
      </w:r>
    </w:p>
    <w:p>
      <w:r>
        <w:t>The repository contains 106 generated spectrogram images: 67 control images and 39 migraine images. The image names encode subject and task, for example:</w:t>
      </w:r>
    </w:p>
    <w:p>
      <w:pPr>
        <w:pStyle w:val="ListBullet"/>
      </w:pPr>
      <w:r>
        <w:rPr>
          <w:rFonts w:ascii="Consolas" w:hAnsi="Consolas" w:eastAsia="Consolas"/>
          <w:sz w:val="18"/>
        </w:rPr>
        <w:t>C10_Resting.png</w:t>
      </w:r>
      <w:r>
        <w:t>: control participant 10, resting state</w:t>
      </w:r>
    </w:p>
    <w:p>
      <w:pPr>
        <w:pStyle w:val="ListBullet"/>
      </w:pPr>
      <w:r>
        <w:rPr>
          <w:rFonts w:ascii="Consolas" w:hAnsi="Consolas" w:eastAsia="Consolas"/>
          <w:sz w:val="18"/>
        </w:rPr>
        <w:t>M10_Resting.png</w:t>
      </w:r>
      <w:r>
        <w:t>: migraine participant 10, resting state</w:t>
      </w:r>
    </w:p>
    <w:p>
      <w:pPr>
        <w:pStyle w:val="ListBullet"/>
      </w:pPr>
      <w:r>
        <w:rPr>
          <w:rFonts w:ascii="Consolas" w:hAnsi="Consolas" w:eastAsia="Consolas"/>
          <w:sz w:val="18"/>
        </w:rPr>
        <w:t>M1_SSAEP.png</w:t>
      </w:r>
      <w:r>
        <w:t>: migraine participant 1, steady-state auditory evoked potential</w:t>
      </w:r>
    </w:p>
    <w:p>
      <w:pPr>
        <w:pStyle w:val="ListBullet"/>
      </w:pPr>
      <w:r>
        <w:rPr>
          <w:rFonts w:ascii="Consolas" w:hAnsi="Consolas" w:eastAsia="Consolas"/>
          <w:sz w:val="18"/>
        </w:rPr>
        <w:t>C1_SSVEP.png</w:t>
      </w:r>
      <w:r>
        <w:t>: control participant 1, steady-state visual evoked potential</w:t>
      </w:r>
    </w:p>
    <w:p>
      <w:r>
        <w:rPr>
          <w:rFonts w:ascii="Consolas" w:hAnsi="Consolas" w:eastAsia="Consolas"/>
          <w:sz w:val="18"/>
        </w:rPr>
        <w:t>Resting</w:t>
      </w:r>
      <w:r>
        <w:t xml:space="preserve">, </w:t>
      </w:r>
      <w:r>
        <w:rPr>
          <w:rFonts w:ascii="Consolas" w:hAnsi="Consolas" w:eastAsia="Consolas"/>
          <w:sz w:val="18"/>
        </w:rPr>
        <w:t>SSAEP</w:t>
      </w:r>
      <w:r>
        <w:t xml:space="preserve">, and </w:t>
      </w:r>
      <w:r>
        <w:rPr>
          <w:rFonts w:ascii="Consolas" w:hAnsi="Consolas" w:eastAsia="Consolas"/>
          <w:sz w:val="18"/>
        </w:rPr>
        <w:t>SSVEP</w:t>
      </w:r>
      <w:r>
        <w:t xml:space="preserve"> should not be treated as interchangeable physiological conditions. The current CNN notebooks combine all available PNGs under the two class folders, whereas the treatment notebook selects resting-state files.</w:t>
      </w:r>
    </w:p>
    <w:p>
      <w:pPr>
        <w:spacing w:after="40"/>
      </w:pPr>
      <w:r/>
    </w:p>
    <w:p>
      <w:pPr>
        <w:pStyle w:val="Heading1"/>
      </w:pPr>
      <w:r>
        <w:t>2. Repository map and execution order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Order</w:t>
            </w:r>
          </w:p>
        </w:tc>
        <w:tc>
          <w:tcPr>
            <w:tcW w:type="dxa" w:w="3312"/>
            <w:vAlign w:val="center"/>
            <w:shd w:fill="D9EAF7"/>
          </w:tcPr>
          <w:p>
            <w:r/>
            <w:r>
              <w:rPr>
                <w:b/>
                <w:sz w:val="18"/>
              </w:rPr>
              <w:t>File or folder</w:t>
            </w:r>
          </w:p>
        </w:tc>
        <w:tc>
          <w:tcPr>
            <w:tcW w:type="dxa" w:w="3312"/>
            <w:vAlign w:val="center"/>
            <w:shd w:fill="D9EAF7"/>
          </w:tcPr>
          <w:p>
            <w:r/>
            <w:r>
              <w:rPr>
                <w:b/>
                <w:sz w:val="18"/>
              </w:rPr>
              <w:t>Role</w:t>
            </w:r>
          </w:p>
        </w:tc>
      </w:tr>
      <w:tr>
        <w:tc>
          <w:tcPr>
            <w:tcW w:type="dxa" w:w="3312"/>
            <w:vAlign w:val="center"/>
          </w:tcPr>
          <w:p>
            <w:r/>
            <w:r>
              <w:rPr>
                <w:b w:val="0"/>
                <w:sz w:val="18"/>
              </w:rPr>
              <w:t>1</w:t>
            </w:r>
          </w:p>
        </w:tc>
        <w:tc>
          <w:tcPr>
            <w:tcW w:type="dxa" w:w="3312"/>
            <w:vAlign w:val="center"/>
          </w:tcPr>
          <w:p>
            <w:r/>
            <w:r>
              <w:rPr>
                <w:b w:val="0"/>
                <w:sz w:val="18"/>
              </w:rPr>
              <w:t>`EEG_CMU.ipynb`</w:t>
            </w:r>
          </w:p>
        </w:tc>
        <w:tc>
          <w:tcPr>
            <w:tcW w:type="dxa" w:w="3312"/>
            <w:vAlign w:val="center"/>
          </w:tcPr>
          <w:p>
            <w:r/>
            <w:r>
              <w:rPr>
                <w:b w:val="0"/>
                <w:sz w:val="18"/>
              </w:rPr>
              <w:t>Downloads and processes raw CMU EEG BDF recordings, creates `.npy` spectrogram tensors, and renders CNN PNGs.</w:t>
            </w:r>
          </w:p>
        </w:tc>
      </w:tr>
      <w:tr>
        <w:tc>
          <w:tcPr>
            <w:tcW w:type="dxa" w:w="3312"/>
            <w:vAlign w:val="center"/>
          </w:tcPr>
          <w:p>
            <w:r/>
            <w:r>
              <w:rPr>
                <w:b w:val="0"/>
                <w:sz w:val="18"/>
              </w:rPr>
              <w:t>2</w:t>
            </w:r>
          </w:p>
        </w:tc>
        <w:tc>
          <w:tcPr>
            <w:tcW w:type="dxa" w:w="3312"/>
            <w:vAlign w:val="center"/>
          </w:tcPr>
          <w:p>
            <w:r/>
            <w:r>
              <w:rPr>
                <w:b w:val="0"/>
                <w:sz w:val="18"/>
              </w:rPr>
              <w:t>`Migraine_VGG16_Spectrogram.ipynb`</w:t>
            </w:r>
          </w:p>
        </w:tc>
        <w:tc>
          <w:tcPr>
            <w:tcW w:type="dxa" w:w="3312"/>
            <w:vAlign w:val="center"/>
          </w:tcPr>
          <w:p>
            <w:r/>
            <w:r>
              <w:rPr>
                <w:b w:val="0"/>
                <w:sz w:val="18"/>
              </w:rPr>
              <w:t>Trains a frozen ImageNet VGG16 feature extractor plus a small classifier head.</w:t>
            </w:r>
          </w:p>
        </w:tc>
      </w:tr>
      <w:tr>
        <w:tc>
          <w:tcPr>
            <w:tcW w:type="dxa" w:w="3312"/>
            <w:vAlign w:val="center"/>
          </w:tcPr>
          <w:p>
            <w:r/>
            <w:r>
              <w:rPr>
                <w:b w:val="0"/>
                <w:sz w:val="18"/>
              </w:rPr>
              <w:t>3</w:t>
            </w:r>
          </w:p>
        </w:tc>
        <w:tc>
          <w:tcPr>
            <w:tcW w:type="dxa" w:w="3312"/>
            <w:vAlign w:val="center"/>
          </w:tcPr>
          <w:p>
            <w:r/>
            <w:r>
              <w:rPr>
                <w:b w:val="0"/>
                <w:sz w:val="18"/>
              </w:rPr>
              <w:t>`Migraine_ResNet50_Spectrogram.ipynb`</w:t>
            </w:r>
          </w:p>
        </w:tc>
        <w:tc>
          <w:tcPr>
            <w:tcW w:type="dxa" w:w="3312"/>
            <w:vAlign w:val="center"/>
          </w:tcPr>
          <w:p>
            <w:r/>
            <w:r>
              <w:rPr>
                <w:b w:val="0"/>
                <w:sz w:val="18"/>
              </w:rPr>
              <w:t>Trains a frozen ImageNet ResNet50 feature extractor plus a small classifier head.</w:t>
            </w:r>
          </w:p>
        </w:tc>
      </w:tr>
      <w:tr>
        <w:tc>
          <w:tcPr>
            <w:tcW w:type="dxa" w:w="3312"/>
            <w:vAlign w:val="center"/>
          </w:tcPr>
          <w:p>
            <w:r/>
            <w:r>
              <w:rPr>
                <w:b w:val="0"/>
                <w:sz w:val="18"/>
              </w:rPr>
              <w:t>4</w:t>
            </w:r>
          </w:p>
        </w:tc>
        <w:tc>
          <w:tcPr>
            <w:tcW w:type="dxa" w:w="3312"/>
            <w:vAlign w:val="center"/>
          </w:tcPr>
          <w:p>
            <w:r/>
            <w:r>
              <w:rPr>
                <w:b w:val="0"/>
                <w:sz w:val="18"/>
              </w:rPr>
              <w:t>`Migraine_EfficientNetB7_Spectrogram.ipynb`</w:t>
            </w:r>
          </w:p>
        </w:tc>
        <w:tc>
          <w:tcPr>
            <w:tcW w:type="dxa" w:w="3312"/>
            <w:vAlign w:val="center"/>
          </w:tcPr>
          <w:p>
            <w:r/>
            <w:r>
              <w:rPr>
                <w:b w:val="0"/>
                <w:sz w:val="18"/>
              </w:rPr>
              <w:t>Trains a frozen ImageNet EfficientNetB7 feature extractor plus a small classifier head.</w:t>
            </w:r>
          </w:p>
        </w:tc>
      </w:tr>
      <w:tr>
        <w:tc>
          <w:tcPr>
            <w:tcW w:type="dxa" w:w="3312"/>
            <w:vAlign w:val="center"/>
          </w:tcPr>
          <w:p>
            <w:r/>
            <w:r>
              <w:rPr>
                <w:b w:val="0"/>
                <w:sz w:val="18"/>
              </w:rPr>
              <w:t>5</w:t>
            </w:r>
          </w:p>
        </w:tc>
        <w:tc>
          <w:tcPr>
            <w:tcW w:type="dxa" w:w="3312"/>
            <w:vAlign w:val="center"/>
          </w:tcPr>
          <w:p>
            <w:r/>
            <w:r>
              <w:rPr>
                <w:b w:val="0"/>
                <w:sz w:val="18"/>
              </w:rPr>
              <w:t>`spectrogram_binaural_treatment.ipynb`</w:t>
            </w:r>
          </w:p>
        </w:tc>
        <w:tc>
          <w:tcPr>
            <w:tcW w:type="dxa" w:w="3312"/>
            <w:vAlign w:val="center"/>
          </w:tcPr>
          <w:p>
            <w:r/>
            <w:r>
              <w:rPr>
                <w:b w:val="0"/>
                <w:sz w:val="18"/>
              </w:rPr>
              <w:t>Converts PNG colors back into approximate power values, computes IAF and ratios, and synthesizes audio.</w:t>
            </w:r>
          </w:p>
        </w:tc>
      </w:tr>
      <w:tr>
        <w:tc>
          <w:tcPr>
            <w:tcW w:type="dxa" w:w="3312"/>
            <w:vAlign w:val="center"/>
          </w:tcPr>
          <w:p>
            <w:r/>
            <w:r>
              <w:rPr>
                <w:b w:val="0"/>
                <w:sz w:val="18"/>
              </w:rPr>
              <w:t>—</w:t>
            </w:r>
          </w:p>
        </w:tc>
        <w:tc>
          <w:tcPr>
            <w:tcW w:type="dxa" w:w="3312"/>
            <w:vAlign w:val="center"/>
          </w:tcPr>
          <w:p>
            <w:r/>
            <w:r>
              <w:rPr>
                <w:b w:val="0"/>
                <w:sz w:val="18"/>
              </w:rPr>
              <w:t>`spectrograms\Control` and `spectrograms\Migraine`</w:t>
            </w:r>
          </w:p>
        </w:tc>
        <w:tc>
          <w:tcPr>
            <w:tcW w:type="dxa" w:w="3312"/>
            <w:vAlign w:val="center"/>
          </w:tcPr>
          <w:p>
            <w:r/>
            <w:r>
              <w:rPr>
                <w:b w:val="0"/>
                <w:sz w:val="18"/>
              </w:rPr>
              <w:t>106 generated PNG images used by the CNN notebooks and treatment analysis.</w:t>
            </w:r>
          </w:p>
        </w:tc>
      </w:tr>
      <w:tr>
        <w:tc>
          <w:tcPr>
            <w:tcW w:type="dxa" w:w="3312"/>
            <w:vAlign w:val="center"/>
          </w:tcPr>
          <w:p>
            <w:r/>
            <w:r>
              <w:rPr>
                <w:b w:val="0"/>
                <w:sz w:val="18"/>
              </w:rPr>
              <w:t>—</w:t>
            </w:r>
          </w:p>
        </w:tc>
        <w:tc>
          <w:tcPr>
            <w:tcW w:type="dxa" w:w="3312"/>
            <w:vAlign w:val="center"/>
          </w:tcPr>
          <w:p>
            <w:r/>
            <w:r>
              <w:rPr>
                <w:b w:val="0"/>
                <w:sz w:val="18"/>
              </w:rPr>
              <w:t>`audio_prescriptions`</w:t>
            </w:r>
          </w:p>
        </w:tc>
        <w:tc>
          <w:tcPr>
            <w:tcW w:type="dxa" w:w="3312"/>
            <w:vAlign w:val="center"/>
          </w:tcPr>
          <w:p>
            <w:r/>
            <w:r>
              <w:rPr>
                <w:b w:val="0"/>
                <w:sz w:val="18"/>
              </w:rPr>
              <w:t>15 generated WAV files in the repository snapshot.</w:t>
            </w:r>
          </w:p>
        </w:tc>
      </w:tr>
      <w:tr>
        <w:tc>
          <w:tcPr>
            <w:tcW w:type="dxa" w:w="3312"/>
            <w:vAlign w:val="center"/>
          </w:tcPr>
          <w:p>
            <w:r/>
            <w:r>
              <w:rPr>
                <w:b w:val="0"/>
                <w:sz w:val="18"/>
              </w:rPr>
              <w:t>—</w:t>
            </w:r>
          </w:p>
        </w:tc>
        <w:tc>
          <w:tcPr>
            <w:tcW w:type="dxa" w:w="3312"/>
            <w:vAlign w:val="center"/>
          </w:tcPr>
          <w:p>
            <w:r/>
            <w:r>
              <w:rPr>
                <w:b w:val="0"/>
                <w:sz w:val="18"/>
              </w:rPr>
              <w:t>`build_full_explanation_doc.py`</w:t>
            </w:r>
          </w:p>
        </w:tc>
        <w:tc>
          <w:tcPr>
            <w:tcW w:type="dxa" w:w="3312"/>
            <w:vAlign w:val="center"/>
          </w:tcPr>
          <w:p>
            <w:r/>
            <w:r>
              <w:rPr>
                <w:b w:val="0"/>
                <w:sz w:val="18"/>
              </w:rPr>
              <w:t>Existing document-generation utility.</w:t>
            </w:r>
          </w:p>
        </w:tc>
      </w:tr>
      <w:tr>
        <w:tc>
          <w:tcPr>
            <w:tcW w:type="dxa" w:w="3312"/>
            <w:vAlign w:val="center"/>
          </w:tcPr>
          <w:p>
            <w:r/>
            <w:r>
              <w:rPr>
                <w:b w:val="0"/>
                <w:sz w:val="18"/>
              </w:rPr>
              <w:t>—</w:t>
            </w:r>
          </w:p>
        </w:tc>
        <w:tc>
          <w:tcPr>
            <w:tcW w:type="dxa" w:w="3312"/>
            <w:vAlign w:val="center"/>
          </w:tcPr>
          <w:p>
            <w:r/>
            <w:r>
              <w:rPr>
                <w:b w:val="0"/>
                <w:sz w:val="18"/>
              </w:rPr>
              <w:t>`create_treatment_documentation.py`</w:t>
            </w:r>
          </w:p>
        </w:tc>
        <w:tc>
          <w:tcPr>
            <w:tcW w:type="dxa" w:w="3312"/>
            <w:vAlign w:val="center"/>
          </w:tcPr>
          <w:p>
            <w:r/>
            <w:r>
              <w:rPr>
                <w:b w:val="0"/>
                <w:sz w:val="18"/>
              </w:rPr>
              <w:t>Existing treatment-documentation utility.</w:t>
            </w:r>
          </w:p>
        </w:tc>
      </w:tr>
      <w:tr>
        <w:tc>
          <w:tcPr>
            <w:tcW w:type="dxa" w:w="3312"/>
            <w:vAlign w:val="center"/>
          </w:tcPr>
          <w:p>
            <w:r/>
            <w:r>
              <w:rPr>
                <w:b w:val="0"/>
                <w:sz w:val="18"/>
              </w:rPr>
              <w:t>—</w:t>
            </w:r>
          </w:p>
        </w:tc>
        <w:tc>
          <w:tcPr>
            <w:tcW w:type="dxa" w:w="3312"/>
            <w:vAlign w:val="center"/>
          </w:tcPr>
          <w:p>
            <w:r/>
            <w:r>
              <w:rPr>
                <w:b w:val="0"/>
                <w:sz w:val="18"/>
              </w:rPr>
              <w:t>`DatasetPaper.pdf`, DOCX files, `.bib` file</w:t>
            </w:r>
          </w:p>
        </w:tc>
        <w:tc>
          <w:tcPr>
            <w:tcW w:type="dxa" w:w="3312"/>
            <w:vAlign w:val="center"/>
          </w:tcPr>
          <w:p>
            <w:r/>
            <w:r>
              <w:rPr>
                <w:b w:val="0"/>
                <w:sz w:val="18"/>
              </w:rPr>
              <w:t>Dataset, literature, summaries, and earlier explanations.</w:t>
            </w:r>
          </w:p>
        </w:tc>
      </w:tr>
    </w:tbl>
    <w:p/>
    <w:p>
      <w:r>
        <w:t xml:space="preserve">The intended order is to run </w:t>
      </w:r>
      <w:r>
        <w:rPr>
          <w:rFonts w:ascii="Consolas" w:hAnsi="Consolas" w:eastAsia="Consolas"/>
          <w:sz w:val="18"/>
        </w:rPr>
        <w:t>EEG_CMU.ipynb</w:t>
      </w:r>
      <w:r>
        <w:t xml:space="preserve"> first. The three CNN notebooks are independent experiments and can then be run in any order. The treatment notebook can consume the generated PNGs directly.</w:t>
      </w:r>
    </w:p>
    <w:p>
      <w:pPr>
        <w:spacing w:after="40"/>
      </w:pPr>
      <w:r/>
    </w:p>
    <w:p>
      <w:pPr>
        <w:pStyle w:val="Heading1"/>
      </w:pPr>
      <w:r>
        <w:t>3. Domain and scientific concepts</w:t>
      </w:r>
    </w:p>
    <w:p>
      <w:pPr>
        <w:pStyle w:val="Heading2"/>
      </w:pPr>
      <w:r>
        <w:t>3.1 EEG</w:t>
      </w:r>
    </w:p>
    <w:p>
      <w:r>
        <w:t>Electroencephalography measures voltage differences produced by synchronized neural activity at the scalp. An EEG recording is a multichannel time series:</w:t>
      </w:r>
    </w:p>
    <w:p>
      <w:pPr>
        <w:spacing w:before="100" w:after="100"/>
        <w:jc w:val="center"/>
      </w:pPr>
      <w:r>
        <w:drawing>
          <wp:inline xmlns:a="http://schemas.openxmlformats.org/drawingml/2006/main" xmlns:pic="http://schemas.openxmlformats.org/drawingml/2006/picture">
            <wp:extent cx="1447800" cy="125730"/>
            <wp:docPr id="1" name="Picture 1"/>
            <wp:cNvGraphicFramePr>
              <a:graphicFrameLocks noChangeAspect="1"/>
            </wp:cNvGraphicFramePr>
            <a:graphic>
              <a:graphicData uri="http://schemas.openxmlformats.org/drawingml/2006/picture">
                <pic:pic>
                  <pic:nvPicPr>
                    <pic:cNvPr id="0" name="equation_01.png"/>
                    <pic:cNvPicPr/>
                  </pic:nvPicPr>
                  <pic:blipFill>
                    <a:blip r:embed="rId10"/>
                    <a:stretch>
                      <a:fillRect/>
                    </a:stretch>
                  </pic:blipFill>
                  <pic:spPr>
                    <a:xfrm>
                      <a:off x="0" y="0"/>
                      <a:ext cx="1447800" cy="125730"/>
                    </a:xfrm>
                    <a:prstGeom prst="rect"/>
                  </pic:spPr>
                </pic:pic>
              </a:graphicData>
            </a:graphic>
          </wp:inline>
        </w:drawing>
      </w:r>
    </w:p>
    <w:p>
      <w:r>
        <w:t>where \(c\) is a channel and \(n\) is a sample index. The repository's exploratory recording reports 143 EEG channels plus one stimulus channel, sampled at 512 Hz, with approximately 796 seconds of data.</w:t>
      </w:r>
    </w:p>
    <w:p>
      <w:pPr>
        <w:pStyle w:val="Heading2"/>
      </w:pPr>
      <w:r>
        <w:t>3.2 Frequency bands</w:t>
      </w:r>
    </w:p>
    <w:p>
      <w:r>
        <w:t>The treatment notebook uses the following canonical ranges: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Band</w:t>
            </w:r>
          </w:p>
        </w:tc>
        <w:tc>
          <w:tcPr>
            <w:tcW w:type="dxa" w:w="3312"/>
            <w:vAlign w:val="center"/>
            <w:shd w:fill="D9EAF7"/>
          </w:tcPr>
          <w:p>
            <w:r/>
            <w:r>
              <w:rPr>
                <w:b/>
                <w:sz w:val="18"/>
              </w:rPr>
              <w:t>Frequency range</w:t>
            </w:r>
          </w:p>
        </w:tc>
        <w:tc>
          <w:tcPr>
            <w:tcW w:type="dxa" w:w="3312"/>
            <w:vAlign w:val="center"/>
            <w:shd w:fill="D9EAF7"/>
          </w:tcPr>
          <w:p>
            <w:r/>
            <w:r>
              <w:rPr>
                <w:b/>
                <w:sz w:val="18"/>
              </w:rPr>
              <w:t>Typical interpretation in this project</w:t>
            </w:r>
          </w:p>
        </w:tc>
      </w:tr>
      <w:tr>
        <w:tc>
          <w:tcPr>
            <w:tcW w:type="dxa" w:w="3312"/>
            <w:vAlign w:val="center"/>
          </w:tcPr>
          <w:p>
            <w:r/>
            <w:r>
              <w:rPr>
                <w:b w:val="0"/>
                <w:sz w:val="18"/>
              </w:rPr>
              <w:t>Delta</w:t>
            </w:r>
          </w:p>
        </w:tc>
        <w:tc>
          <w:tcPr>
            <w:tcW w:type="dxa" w:w="3312"/>
            <w:vAlign w:val="center"/>
          </w:tcPr>
          <w:p>
            <w:r/>
            <w:r>
              <w:rPr>
                <w:b w:val="0"/>
                <w:sz w:val="18"/>
              </w:rPr>
              <w:t>1–4 Hz</w:t>
            </w:r>
          </w:p>
        </w:tc>
        <w:tc>
          <w:tcPr>
            <w:tcW w:type="dxa" w:w="3312"/>
            <w:vAlign w:val="center"/>
          </w:tcPr>
          <w:p>
            <w:r/>
            <w:r>
              <w:rPr>
                <w:b w:val="0"/>
                <w:sz w:val="18"/>
              </w:rPr>
              <w:t>Slow oscillatory activity</w:t>
            </w:r>
          </w:p>
        </w:tc>
      </w:tr>
      <w:tr>
        <w:tc>
          <w:tcPr>
            <w:tcW w:type="dxa" w:w="3312"/>
            <w:vAlign w:val="center"/>
          </w:tcPr>
          <w:p>
            <w:r/>
            <w:r>
              <w:rPr>
                <w:b w:val="0"/>
                <w:sz w:val="18"/>
              </w:rPr>
              <w:t>Theta</w:t>
            </w:r>
          </w:p>
        </w:tc>
        <w:tc>
          <w:tcPr>
            <w:tcW w:type="dxa" w:w="3312"/>
            <w:vAlign w:val="center"/>
          </w:tcPr>
          <w:p>
            <w:r/>
            <w:r>
              <w:rPr>
                <w:b w:val="0"/>
                <w:sz w:val="18"/>
              </w:rPr>
              <w:t>4–8 Hz</w:t>
            </w:r>
          </w:p>
        </w:tc>
        <w:tc>
          <w:tcPr>
            <w:tcW w:type="dxa" w:w="3312"/>
            <w:vAlign w:val="center"/>
          </w:tcPr>
          <w:p>
            <w:r/>
            <w:r>
              <w:rPr>
                <w:b w:val="0"/>
                <w:sz w:val="18"/>
              </w:rPr>
              <w:t>Slow activity and the numerator of TAR/TBR</w:t>
            </w:r>
          </w:p>
        </w:tc>
      </w:tr>
      <w:tr>
        <w:tc>
          <w:tcPr>
            <w:tcW w:type="dxa" w:w="3312"/>
            <w:vAlign w:val="center"/>
          </w:tcPr>
          <w:p>
            <w:r/>
            <w:r>
              <w:rPr>
                <w:b w:val="0"/>
                <w:sz w:val="18"/>
              </w:rPr>
              <w:t>Alpha</w:t>
            </w:r>
          </w:p>
        </w:tc>
        <w:tc>
          <w:tcPr>
            <w:tcW w:type="dxa" w:w="3312"/>
            <w:vAlign w:val="center"/>
          </w:tcPr>
          <w:p>
            <w:r/>
            <w:r>
              <w:rPr>
                <w:b w:val="0"/>
                <w:sz w:val="18"/>
              </w:rPr>
              <w:t>8–13 Hz</w:t>
            </w:r>
          </w:p>
        </w:tc>
        <w:tc>
          <w:tcPr>
            <w:tcW w:type="dxa" w:w="3312"/>
            <w:vAlign w:val="center"/>
          </w:tcPr>
          <w:p>
            <w:r/>
            <w:r>
              <w:rPr>
                <w:b w:val="0"/>
                <w:sz w:val="18"/>
              </w:rPr>
              <w:t>Resting rhythm and treatment target</w:t>
            </w:r>
          </w:p>
        </w:tc>
      </w:tr>
      <w:tr>
        <w:tc>
          <w:tcPr>
            <w:tcW w:type="dxa" w:w="3312"/>
            <w:vAlign w:val="center"/>
          </w:tcPr>
          <w:p>
            <w:r/>
            <w:r>
              <w:rPr>
                <w:b w:val="0"/>
                <w:sz w:val="18"/>
              </w:rPr>
              <w:t>Beta</w:t>
            </w:r>
          </w:p>
        </w:tc>
        <w:tc>
          <w:tcPr>
            <w:tcW w:type="dxa" w:w="3312"/>
            <w:vAlign w:val="center"/>
          </w:tcPr>
          <w:p>
            <w:r/>
            <w:r>
              <w:rPr>
                <w:b w:val="0"/>
                <w:sz w:val="18"/>
              </w:rPr>
              <w:t>13–30 Hz</w:t>
            </w:r>
          </w:p>
        </w:tc>
        <w:tc>
          <w:tcPr>
            <w:tcW w:type="dxa" w:w="3312"/>
            <w:vAlign w:val="center"/>
          </w:tcPr>
          <w:p>
            <w:r/>
            <w:r>
              <w:rPr>
                <w:b w:val="0"/>
                <w:sz w:val="18"/>
              </w:rPr>
              <w:t>Faster cortical activity</w:t>
            </w:r>
          </w:p>
        </w:tc>
      </w:tr>
      <w:tr>
        <w:tc>
          <w:tcPr>
            <w:tcW w:type="dxa" w:w="3312"/>
            <w:vAlign w:val="center"/>
          </w:tcPr>
          <w:p>
            <w:r/>
            <w:r>
              <w:rPr>
                <w:b w:val="0"/>
                <w:sz w:val="18"/>
              </w:rPr>
              <w:t>Gamma</w:t>
            </w:r>
          </w:p>
        </w:tc>
        <w:tc>
          <w:tcPr>
            <w:tcW w:type="dxa" w:w="3312"/>
            <w:vAlign w:val="center"/>
          </w:tcPr>
          <w:p>
            <w:r/>
            <w:r>
              <w:rPr>
                <w:b w:val="0"/>
                <w:sz w:val="18"/>
              </w:rPr>
              <w:t>30–50 Hz</w:t>
            </w:r>
          </w:p>
        </w:tc>
        <w:tc>
          <w:tcPr>
            <w:tcW w:type="dxa" w:w="3312"/>
            <w:vAlign w:val="center"/>
          </w:tcPr>
          <w:p>
            <w:r/>
            <w:r>
              <w:rPr>
                <w:b w:val="0"/>
                <w:sz w:val="18"/>
              </w:rPr>
              <w:t>High-frequency activity retained by the preprocessing filter</w:t>
            </w:r>
          </w:p>
        </w:tc>
      </w:tr>
    </w:tbl>
    <w:p/>
    <w:p>
      <w:r>
        <w:t>These are approximate physiological bands, not hard biological boundaries.</w:t>
      </w:r>
    </w:p>
    <w:p>
      <w:pPr>
        <w:pStyle w:val="Heading2"/>
      </w:pPr>
      <w:r>
        <w:t>3.3 Migraine-related rationale</w:t>
      </w:r>
    </w:p>
    <w:p>
      <w:r>
        <w:t>The project is motivated by literature discussing migraine-associated differences in cortical excitability, sensory processing, alpha activity, and thalamocortical rhythmicity. The code operationalizes this motivation through:</w:t>
      </w:r>
    </w:p>
    <w:p>
      <w:pPr>
        <w:pStyle w:val="ListBullet"/>
      </w:pPr>
      <w:r>
        <w:t>classification of spectrogram patterns;</w:t>
      </w:r>
    </w:p>
    <w:p>
      <w:pPr>
        <w:pStyle w:val="ListBullet"/>
      </w:pPr>
      <w:r>
        <w:t>relative alpha power;</w:t>
      </w:r>
    </w:p>
    <w:p>
      <w:pPr>
        <w:pStyle w:val="ListBullet"/>
      </w:pPr>
      <w:r>
        <w:t>Individual Alpha Frequency (IAF);</w:t>
      </w:r>
    </w:p>
    <w:p>
      <w:pPr>
        <w:pStyle w:val="ListBullet"/>
      </w:pPr>
      <w:r>
        <w:t>theta-to-alpha ratio (TAR);</w:t>
      </w:r>
    </w:p>
    <w:p>
      <w:pPr>
        <w:pStyle w:val="ListBullet"/>
      </w:pPr>
      <w:r>
        <w:t>theta-to-beta ratio (TBR);</w:t>
      </w:r>
    </w:p>
    <w:p>
      <w:pPr>
        <w:pStyle w:val="ListBullet"/>
      </w:pPr>
      <w:r>
        <w:t>alpha-range binaural beat synthesis.</w:t>
      </w:r>
    </w:p>
    <w:p>
      <w:r>
        <w:t xml:space="preserve">The code does not prove a causal migraine mechanism. In particular, </w:t>
      </w:r>
      <w:r>
        <w:rPr>
          <w:rFonts w:ascii="Consolas" w:hAnsi="Consolas" w:eastAsia="Consolas"/>
          <w:sz w:val="18"/>
        </w:rPr>
        <w:t>alpha_deficit = max(0, 0.20 - alpha proportion)</w:t>
      </w:r>
      <w:r>
        <w:t xml:space="preserve"> uses 20% as a reporting reference, not as a validated patient-specific clinical threshold.</w:t>
      </w:r>
    </w:p>
    <w:p>
      <w:pPr>
        <w:pStyle w:val="Heading2"/>
      </w:pPr>
      <w:r>
        <w:t>3.4 Spectrograms</w:t>
      </w:r>
    </w:p>
    <w:p>
      <w:r>
        <w:t>An STFT represents how signal energy changes over both time and frequency. For a windowed signal \(x[n]\), a conceptual STFT is:</w:t>
      </w:r>
    </w:p>
    <w:p>
      <w:pPr>
        <w:spacing w:before="100" w:after="100"/>
        <w:jc w:val="center"/>
      </w:pPr>
      <w:r>
        <w:drawing>
          <wp:inline xmlns:a="http://schemas.openxmlformats.org/drawingml/2006/main" xmlns:pic="http://schemas.openxmlformats.org/drawingml/2006/picture">
            <wp:extent cx="2209800" cy="316230"/>
            <wp:docPr id="2" name="Picture 2"/>
            <wp:cNvGraphicFramePr>
              <a:graphicFrameLocks noChangeAspect="1"/>
            </wp:cNvGraphicFramePr>
            <a:graphic>
              <a:graphicData uri="http://schemas.openxmlformats.org/drawingml/2006/picture">
                <pic:pic>
                  <pic:nvPicPr>
                    <pic:cNvPr id="0" name="equation_02.png"/>
                    <pic:cNvPicPr/>
                  </pic:nvPicPr>
                  <pic:blipFill>
                    <a:blip r:embed="rId11"/>
                    <a:stretch>
                      <a:fillRect/>
                    </a:stretch>
                  </pic:blipFill>
                  <pic:spPr>
                    <a:xfrm>
                      <a:off x="0" y="0"/>
                      <a:ext cx="2209800" cy="316230"/>
                    </a:xfrm>
                    <a:prstGeom prst="rect"/>
                  </pic:spPr>
                </pic:pic>
              </a:graphicData>
            </a:graphic>
          </wp:inline>
        </w:drawing>
      </w:r>
    </w:p>
    <w:p>
      <w:r>
        <w:t>where \(w\) is the analysis window, \(H\) is the hop size, \(m\) indexes time windows, and \(\omega\) is angular frequency. A power spectrogram uses:</w:t>
      </w:r>
    </w:p>
    <w:p>
      <w:pPr>
        <w:spacing w:before="100" w:after="100"/>
        <w:jc w:val="center"/>
      </w:pPr>
      <w:r>
        <w:drawing>
          <wp:inline xmlns:a="http://schemas.openxmlformats.org/drawingml/2006/main" xmlns:pic="http://schemas.openxmlformats.org/drawingml/2006/picture">
            <wp:extent cx="1268730" cy="163830"/>
            <wp:docPr id="3" name="Picture 3"/>
            <wp:cNvGraphicFramePr>
              <a:graphicFrameLocks noChangeAspect="1"/>
            </wp:cNvGraphicFramePr>
            <a:graphic>
              <a:graphicData uri="http://schemas.openxmlformats.org/drawingml/2006/picture">
                <pic:pic>
                  <pic:nvPicPr>
                    <pic:cNvPr id="0" name="equation_03.png"/>
                    <pic:cNvPicPr/>
                  </pic:nvPicPr>
                  <pic:blipFill>
                    <a:blip r:embed="rId12"/>
                    <a:stretch>
                      <a:fillRect/>
                    </a:stretch>
                  </pic:blipFill>
                  <pic:spPr>
                    <a:xfrm>
                      <a:off x="0" y="0"/>
                      <a:ext cx="1268730" cy="163830"/>
                    </a:xfrm>
                    <a:prstGeom prst="rect"/>
                  </pic:spPr>
                </pic:pic>
              </a:graphicData>
            </a:graphic>
          </wp:inline>
        </w:drawing>
      </w:r>
    </w:p>
    <w:p>
      <w:r>
        <w:t>The project displays a logarithmic form:</w:t>
      </w:r>
    </w:p>
    <w:p>
      <w:pPr>
        <w:spacing w:before="100" w:after="100"/>
        <w:jc w:val="center"/>
      </w:pPr>
      <w:r>
        <w:drawing>
          <wp:inline xmlns:a="http://schemas.openxmlformats.org/drawingml/2006/main" xmlns:pic="http://schemas.openxmlformats.org/drawingml/2006/picture">
            <wp:extent cx="1257300" cy="137160"/>
            <wp:docPr id="4" name="Picture 4"/>
            <wp:cNvGraphicFramePr>
              <a:graphicFrameLocks noChangeAspect="1"/>
            </wp:cNvGraphicFramePr>
            <a:graphic>
              <a:graphicData uri="http://schemas.openxmlformats.org/drawingml/2006/picture">
                <pic:pic>
                  <pic:nvPicPr>
                    <pic:cNvPr id="0" name="equation_04.png"/>
                    <pic:cNvPicPr/>
                  </pic:nvPicPr>
                  <pic:blipFill>
                    <a:blip r:embed="rId13"/>
                    <a:stretch>
                      <a:fillRect/>
                    </a:stretch>
                  </pic:blipFill>
                  <pic:spPr>
                    <a:xfrm>
                      <a:off x="0" y="0"/>
                      <a:ext cx="1257300" cy="137160"/>
                    </a:xfrm>
                    <a:prstGeom prst="rect"/>
                  </pic:spPr>
                </pic:pic>
              </a:graphicData>
            </a:graphic>
          </wp:inline>
        </w:drawing>
      </w:r>
    </w:p>
    <w:p>
      <w:r>
        <w:t>which makes low and high powers easier to visualize together.</w:t>
      </w:r>
    </w:p>
    <w:p>
      <w:pPr>
        <w:spacing w:after="40"/>
      </w:pPr>
      <w:r/>
    </w:p>
    <w:p>
      <w:pPr>
        <w:pStyle w:val="Heading1"/>
      </w:pPr>
      <w:r>
        <w:t>4. Notebook 1: `EEG_CMU.ipynb`</w:t>
      </w:r>
    </w:p>
    <w:p>
      <w:pPr>
        <w:pStyle w:val="Heading2"/>
      </w:pPr>
      <w:r>
        <w:t>4.1 Purpose and inputs</w:t>
      </w:r>
    </w:p>
    <w:p>
      <w:r>
        <w:t>This notebook is the data-preparation stage. It downloads a large nested archive from Google Drive, extracts subject folders, reads BDF recordings with MNE, filters them, computes spectrogram tensors, and renders one selected EEG channel as a PNG.</w:t>
      </w:r>
    </w:p>
    <w:p>
      <w:r>
        <w:t xml:space="preserve">The notebook excludes subject IDs </w:t>
      </w:r>
      <w:r>
        <w:rPr>
          <w:rFonts w:ascii="Consolas" w:hAnsi="Consolas" w:eastAsia="Consolas"/>
          <w:sz w:val="18"/>
        </w:rPr>
        <w:t>M2</w:t>
      </w:r>
      <w:r>
        <w:t xml:space="preserve">, </w:t>
      </w:r>
      <w:r>
        <w:rPr>
          <w:rFonts w:ascii="Consolas" w:hAnsi="Consolas" w:eastAsia="Consolas"/>
          <w:sz w:val="18"/>
        </w:rPr>
        <w:t>M6</w:t>
      </w:r>
      <w:r>
        <w:t xml:space="preserve">, </w:t>
      </w:r>
      <w:r>
        <w:rPr>
          <w:rFonts w:ascii="Consolas" w:hAnsi="Consolas" w:eastAsia="Consolas"/>
          <w:sz w:val="18"/>
        </w:rPr>
        <w:t>M13</w:t>
      </w:r>
      <w:r>
        <w:t xml:space="preserve">, and </w:t>
      </w:r>
      <w:r>
        <w:rPr>
          <w:rFonts w:ascii="Consolas" w:hAnsi="Consolas" w:eastAsia="Consolas"/>
          <w:sz w:val="18"/>
        </w:rPr>
        <w:t>M18</w:t>
      </w:r>
      <w:r>
        <w:t xml:space="preserve">. Subject folders beginning with </w:t>
      </w:r>
      <w:r>
        <w:rPr>
          <w:rFonts w:ascii="Consolas" w:hAnsi="Consolas" w:eastAsia="Consolas"/>
          <w:sz w:val="18"/>
        </w:rPr>
        <w:t>M</w:t>
      </w:r>
      <w:r>
        <w:t xml:space="preserve"> are assigned label 1 (migraine), and folders beginning with </w:t>
      </w:r>
      <w:r>
        <w:rPr>
          <w:rFonts w:ascii="Consolas" w:hAnsi="Consolas" w:eastAsia="Consolas"/>
          <w:sz w:val="18"/>
        </w:rPr>
        <w:t>C</w:t>
      </w:r>
      <w:r>
        <w:t xml:space="preserve"> are assigned label 0 (control).</w:t>
      </w:r>
    </w:p>
    <w:p>
      <w:pPr>
        <w:pStyle w:val="Heading2"/>
      </w:pPr>
      <w:r>
        <w:t>4.2 Cell-by-cell explanation</w:t>
      </w:r>
    </w:p>
    <w:p>
      <w:pPr>
        <w:pStyle w:val="Heading3"/>
      </w:pPr>
      <w:r>
        <w:t>Cells 1–4: download, extraction, and dependencies</w:t>
      </w:r>
    </w:p>
    <w:p>
      <w:pPr>
        <w:pStyle w:val="ListBullet"/>
      </w:pPr>
      <w:r>
        <w:rPr>
          <w:b/>
          <w:i w:val="0"/>
        </w:rPr>
        <w:t>Cell 1</w:t>
      </w:r>
      <w:r>
        <w:t xml:space="preserve"> runs </w:t>
      </w:r>
      <w:r>
        <w:rPr>
          <w:rFonts w:ascii="Consolas" w:hAnsi="Consolas" w:eastAsia="Consolas"/>
          <w:sz w:val="18"/>
        </w:rPr>
        <w:t>gdown</w:t>
      </w:r>
      <w:r>
        <w:t xml:space="preserve"> to download </w:t>
      </w:r>
      <w:r>
        <w:rPr>
          <w:rFonts w:ascii="Consolas" w:hAnsi="Consolas" w:eastAsia="Consolas"/>
          <w:sz w:val="18"/>
        </w:rPr>
        <w:t>dataset.zip</w:t>
      </w:r>
      <w:r>
        <w:t>, reported as approximately 11.8 GB.</w:t>
      </w:r>
    </w:p>
    <w:p>
      <w:pPr>
        <w:pStyle w:val="ListBullet"/>
      </w:pPr>
      <w:r>
        <w:rPr>
          <w:b/>
          <w:i w:val="0"/>
        </w:rPr>
        <w:t>Cell 2</w:t>
      </w:r>
      <w:r>
        <w:t xml:space="preserve"> extracts the outer archive into </w:t>
      </w:r>
      <w:r>
        <w:rPr>
          <w:rFonts w:ascii="Consolas" w:hAnsi="Consolas" w:eastAsia="Consolas"/>
          <w:sz w:val="18"/>
        </w:rPr>
        <w:t>dataset/</w:t>
      </w:r>
      <w:r>
        <w:t>.</w:t>
      </w:r>
    </w:p>
    <w:p>
      <w:pPr>
        <w:pStyle w:val="ListBullet"/>
      </w:pPr>
      <w:r>
        <w:rPr>
          <w:b/>
          <w:i w:val="0"/>
        </w:rPr>
        <w:t>Cell 3</w:t>
      </w:r>
      <w:r>
        <w:t xml:space="preserve"> is a Colab shell cell that extracts each nested subject ZIP into a same-named directory.</w:t>
      </w:r>
    </w:p>
    <w:p>
      <w:pPr>
        <w:pStyle w:val="ListBullet"/>
      </w:pPr>
      <w:r>
        <w:rPr>
          <w:b/>
          <w:i w:val="0"/>
        </w:rPr>
        <w:t>Cell 4</w:t>
      </w:r>
      <w:r>
        <w:t xml:space="preserve"> installs MNE. The saved output includes unrelated dependency warnings from the Colab environment.</w:t>
      </w:r>
    </w:p>
    <w:p>
      <w:r>
        <w:t xml:space="preserve">These cells are environment-specific: the paths use </w:t>
      </w:r>
      <w:r>
        <w:rPr>
          <w:rFonts w:ascii="Consolas" w:hAnsi="Consolas" w:eastAsia="Consolas"/>
          <w:sz w:val="18"/>
        </w:rPr>
        <w:t>/content</w:t>
      </w:r>
      <w:r>
        <w:t>, Google Drive IDs, and shell commands. They are not directly portable to Windows without changing paths and installation steps.</w:t>
      </w:r>
    </w:p>
    <w:p>
      <w:pPr>
        <w:pStyle w:val="Heading3"/>
      </w:pPr>
      <w:r>
        <w:t>Cell 5: inspect one recording</w:t>
      </w:r>
    </w:p>
    <w:p>
      <w:r>
        <w:t>The notebook loads:</w:t>
      </w:r>
    </w:p>
    <w:p>
      <w:pPr>
        <w:pStyle w:val="NoSpacing"/>
        <w:spacing w:before="60" w:after="100"/>
        <w:ind w:left="360"/>
        <w:shd w:fill="F2F2F2"/>
      </w:pPr>
      <w:r>
        <w:rPr>
          <w:rFonts w:ascii="Consolas" w:hAnsi="Consolas" w:eastAsia="Consolas"/>
          <w:color w:val="282828"/>
          <w:sz w:val="17"/>
        </w:rPr>
        <w:t>raw = mne.io.read_raw_bdf(</w:t>
        <w:br/>
        <w:t xml:space="preserve">    'dataset/M1_1/M1_1/M1resting.bdf',</w:t>
        <w:br/>
        <w:t xml:space="preserve">    preload=True</w:t>
        <w:br/>
        <w:t>)</w:t>
      </w:r>
    </w:p>
    <w:p>
      <w:r>
        <w:t>The exploratory output reports:</w:t>
      </w:r>
    </w:p>
    <w:p>
      <w:pPr>
        <w:pStyle w:val="ListBullet"/>
      </w:pPr>
      <w:r>
        <w:t>144 total channels;</w:t>
      </w:r>
    </w:p>
    <w:p>
      <w:pPr>
        <w:pStyle w:val="ListBullet"/>
      </w:pPr>
      <w:r>
        <w:t>143 EEG channels and one stimulus channel;</w:t>
      </w:r>
    </w:p>
    <w:p>
      <w:pPr>
        <w:pStyle w:val="ListBullet"/>
      </w:pPr>
      <w:r>
        <w:t>512 Hz sampling rate;</w:t>
      </w:r>
    </w:p>
    <w:p>
      <w:pPr>
        <w:pStyle w:val="ListBullet"/>
      </w:pPr>
      <w:r>
        <w:t>approximately 796 seconds of data;</w:t>
      </w:r>
    </w:p>
    <w:p>
      <w:pPr>
        <w:pStyle w:val="ListBullet"/>
      </w:pPr>
      <w:r>
        <w:t>an original low-pass value around 104 Hz before project filtering.</w:t>
      </w:r>
    </w:p>
    <w:p>
      <w:r>
        <w:rPr>
          <w:rFonts w:ascii="Consolas" w:hAnsi="Consolas" w:eastAsia="Consolas"/>
          <w:sz w:val="18"/>
        </w:rPr>
        <w:t>raw.plot(duration=10, n_channels=32, scalings='auto')</w:t>
      </w:r>
      <w:r>
        <w:t xml:space="preserve"> is a visual sanity check.</w:t>
      </w:r>
    </w:p>
    <w:p>
      <w:pPr>
        <w:pStyle w:val="Heading3"/>
      </w:pPr>
      <w:r>
        <w:t>Cells 6–7: select valid subjects</w:t>
      </w:r>
    </w:p>
    <w:p>
      <w:r>
        <w:t xml:space="preserve">The code discovers immediate subdirectories and keeps directories whose names begin with </w:t>
      </w:r>
      <w:r>
        <w:rPr>
          <w:rFonts w:ascii="Consolas" w:hAnsi="Consolas" w:eastAsia="Consolas"/>
          <w:sz w:val="18"/>
        </w:rPr>
        <w:t>M</w:t>
      </w:r>
      <w:r>
        <w:t xml:space="preserve"> or </w:t>
      </w:r>
      <w:r>
        <w:rPr>
          <w:rFonts w:ascii="Consolas" w:hAnsi="Consolas" w:eastAsia="Consolas"/>
          <w:sz w:val="18"/>
        </w:rPr>
        <w:t>C</w:t>
      </w:r>
      <w:r>
        <w:t>, except for the four excluded migraine IDs. The saved output shows 35 valid directories in the first exploratory pass.</w:t>
      </w:r>
    </w:p>
    <w:p>
      <w:r>
        <w:t>This is a subject-level filter, but the later image split is not subject-level; multiple recordings from the same participant can remain related across the dataset split.</w:t>
      </w:r>
    </w:p>
    <w:p>
      <w:pPr>
        <w:pStyle w:val="Heading3"/>
      </w:pPr>
      <w:r>
        <w:t>Cell 8: initial processing loop</w:t>
      </w:r>
    </w:p>
    <w:p>
      <w:r>
        <w:t>The first loop attempts to call:</w:t>
      </w:r>
    </w:p>
    <w:p>
      <w:pPr>
        <w:pStyle w:val="NoSpacing"/>
        <w:spacing w:before="60" w:after="100"/>
        <w:ind w:left="360"/>
        <w:shd w:fill="F2F2F2"/>
      </w:pPr>
      <w:r>
        <w:rPr>
          <w:rFonts w:ascii="Consolas" w:hAnsi="Consolas" w:eastAsia="Consolas"/>
          <w:color w:val="282828"/>
          <w:sz w:val="17"/>
        </w:rPr>
        <w:t>preprocess_eeg(task_file)</w:t>
        <w:br/>
        <w:t>generate_spectrograms(raw)</w:t>
        <w:br/>
        <w:t>resize_spectrogram(spec, target_length=2000)</w:t>
      </w:r>
    </w:p>
    <w:p>
      <w:r>
        <w:t>before those functions are defined in the notebook. It therefore depends on prior notebook state or execution out of order. This is an important reproducibility issue. The later processing block is the version to rely on.</w:t>
      </w:r>
    </w:p>
    <w:p>
      <w:r>
        <w:t xml:space="preserve">The loop saves arrays as </w:t>
      </w:r>
      <w:r>
        <w:rPr>
          <w:rFonts w:ascii="Consolas" w:hAnsi="Consolas" w:eastAsia="Consolas"/>
          <w:sz w:val="18"/>
        </w:rPr>
        <w:t>processed_data/&lt;recording&gt;.npy</w:t>
      </w:r>
      <w:r>
        <w:t>, records file paths and labels, releases large objects, and calls garbage collection.</w:t>
      </w:r>
    </w:p>
    <w:p>
      <w:pPr>
        <w:pStyle w:val="Heading3"/>
      </w:pPr>
      <w:r>
        <w:t>Cell 9: imports and preprocessing helper definitions</w:t>
      </w:r>
    </w:p>
    <w:p>
      <w:r>
        <w:t>The notebook imports NumPy, SciPy, MNE, TensorFlow, scikit-learn, and progress utilities. It defines the actual helpers:</w:t>
      </w:r>
    </w:p>
    <w:p>
      <w:pPr>
        <w:pStyle w:val="NoSpacing"/>
        <w:spacing w:before="60" w:after="100"/>
        <w:ind w:left="360"/>
        <w:shd w:fill="F2F2F2"/>
      </w:pPr>
      <w:r>
        <w:rPr>
          <w:rFonts w:ascii="Consolas" w:hAnsi="Consolas" w:eastAsia="Consolas"/>
          <w:color w:val="282828"/>
          <w:sz w:val="17"/>
        </w:rPr>
        <w:t>def preprocess_eeg(filepath):</w:t>
        <w:br/>
        <w:t xml:space="preserve">    raw = mne.io.read_raw_bdf(filepath, preload=True, verbose=False)</w:t>
        <w:br/>
        <w:t xml:space="preserve">    raw.pick('eeg', verbose=False)</w:t>
        <w:br/>
        <w:t xml:space="preserve">    raw.set_eeg_reference('average', projection=False, verbose=False)</w:t>
        <w:br/>
        <w:t xml:space="preserve">    raw.filter(l_freq=1.0, h_freq=50.0, verbose=False)</w:t>
        <w:br/>
        <w:t xml:space="preserve">    raw.notch_filter(60.0, verbose=False)</w:t>
        <w:br/>
        <w:t xml:space="preserve">    return raw</w:t>
      </w:r>
    </w:p>
    <w:p>
      <w:r>
        <w:t>Processing meaning:</w:t>
      </w:r>
    </w:p>
    <w:p>
      <w:pPr>
        <w:pStyle w:val="ListNumber"/>
      </w:pPr>
      <w:r>
        <w:t>Read BDF data.</w:t>
      </w:r>
    </w:p>
    <w:p>
      <w:pPr>
        <w:pStyle w:val="ListNumber"/>
      </w:pPr>
      <w:r>
        <w:t>Keep EEG channels and discard the stimulus channel.</w:t>
      </w:r>
    </w:p>
    <w:p>
      <w:pPr>
        <w:pStyle w:val="ListNumber"/>
      </w:pPr>
      <w:r>
        <w:t>Apply an average reference:</w:t>
      </w:r>
    </w:p>
    <w:p>
      <w:r>
        <w:t>\[</w:t>
      </w:r>
    </w:p>
    <w:p>
      <w:r>
        <w:t>x'_c(t)=x_c(t)-\frac{1}{C}\sum_{k=1}^{C}x_k(t)</w:t>
      </w:r>
    </w:p>
    <w:p>
      <w:r>
        <w:t>\]</w:t>
      </w:r>
    </w:p>
    <w:p>
      <w:pPr>
        <w:pStyle w:val="ListNumber"/>
      </w:pPr>
      <w:r>
        <w:t>Apply a 1–50 Hz band-pass filter.</w:t>
      </w:r>
    </w:p>
    <w:p>
      <w:pPr>
        <w:pStyle w:val="ListNumber"/>
      </w:pPr>
      <w:r>
        <w:t>Apply a 60 Hz notch filter to suppress mains interference.</w:t>
      </w:r>
    </w:p>
    <w:p>
      <w:r>
        <w:t>The code filters at 50 Hz and then applies a 60 Hz notch, so the notch is outside the retained band and is effectively redundant for the final signal.</w:t>
      </w:r>
    </w:p>
    <w:p>
      <w:r>
        <w:t>The spectrogram helper is:</w:t>
      </w:r>
    </w:p>
    <w:p>
      <w:pPr>
        <w:pStyle w:val="NoSpacing"/>
        <w:spacing w:before="60" w:after="100"/>
        <w:ind w:left="360"/>
        <w:shd w:fill="F2F2F2"/>
      </w:pPr>
      <w:r>
        <w:rPr>
          <w:rFonts w:ascii="Consolas" w:hAnsi="Consolas" w:eastAsia="Consolas"/>
          <w:color w:val="282828"/>
          <w:sz w:val="17"/>
        </w:rPr>
        <w:t>def generate_spectrograms(raw):</w:t>
        <w:br/>
        <w:t xml:space="preserve">    data = raw.get_data() * 1e6</w:t>
        <w:br/>
        <w:t xml:space="preserve">    fs = raw.info['sfreq']</w:t>
        <w:br/>
        <w:t xml:space="preserve">    frequencies, times, Sxx = spectrogram(</w:t>
        <w:br/>
        <w:t xml:space="preserve">        data, fs=fs, nperseg=256, noverlap=128</w:t>
        <w:br/>
        <w:t xml:space="preserve">    )</w:t>
        <w:br/>
        <w:t xml:space="preserve">    Sxx_db = 10 * np.log10(Sxx + 1e-6)</w:t>
        <w:br/>
        <w:t xml:space="preserve">    return Sxx_db</w:t>
      </w:r>
    </w:p>
    <w:p>
      <w:r>
        <w:t>Here, values are converted from volts to microvolts. With \(f_s=512\), a 256-sample window spans 0.5 s. The hop is \(256-128=128\) samples, or 0.25 s. The frequency-bin spacing is:</w:t>
      </w:r>
    </w:p>
    <w:p>
      <w:r>
        <w:t>\[</w:t>
      </w:r>
    </w:p>
    <w:p>
      <w:r>
        <w:t>\Delta f=\frac{f_s}{N_{\mathrm{perseg}}}</w:t>
      </w:r>
    </w:p>
    <w:p>
      <w:r>
        <w:t>=\frac{512}{256}=2\ \mathrm{Hz}</w:t>
      </w:r>
    </w:p>
    <w:p>
      <w:r>
        <w:t>\]</w:t>
      </w:r>
    </w:p>
    <w:p>
      <w:r>
        <w:t>The output has shape approximately:</w:t>
      </w:r>
    </w:p>
    <w:p>
      <w:pPr>
        <w:pStyle w:val="NoSpacing"/>
        <w:spacing w:before="60" w:after="100"/>
        <w:ind w:left="360"/>
        <w:shd w:fill="F2F2F2"/>
      </w:pPr>
      <w:r>
        <w:rPr>
          <w:rFonts w:ascii="Consolas" w:hAnsi="Consolas" w:eastAsia="Consolas"/>
          <w:color w:val="282828"/>
          <w:sz w:val="17"/>
        </w:rPr>
        <w:t>(number_of_eeg_channels, frequency_bins, time_bins)</w:t>
      </w:r>
    </w:p>
    <w:p>
      <w:r>
        <w:t xml:space="preserve">The </w:t>
      </w:r>
      <w:r>
        <w:rPr>
          <w:rFonts w:ascii="Consolas" w:hAnsi="Consolas" w:eastAsia="Consolas"/>
          <w:sz w:val="18"/>
        </w:rPr>
        <w:t>+1e-6</w:t>
      </w:r>
      <w:r>
        <w:t xml:space="preserve"> term avoids \(\log_{10}(0)\).</w:t>
      </w:r>
    </w:p>
    <w:p>
      <w:r>
        <w:t>The resize helper truncates or pads the time dimension to 2,000 columns:</w:t>
      </w:r>
    </w:p>
    <w:p>
      <w:pPr>
        <w:pStyle w:val="NoSpacing"/>
        <w:spacing w:before="60" w:after="100"/>
        <w:ind w:left="360"/>
        <w:shd w:fill="F2F2F2"/>
      </w:pPr>
      <w:r>
        <w:rPr>
          <w:rFonts w:ascii="Consolas" w:hAnsi="Consolas" w:eastAsia="Consolas"/>
          <w:color w:val="282828"/>
          <w:sz w:val="17"/>
        </w:rPr>
        <w:t>if current_length &gt; target_length:</w:t>
        <w:br/>
        <w:t xml:space="preserve">    return spec[:, :, :target_length]</w:t>
        <w:br/>
        <w:t>return np.pad(</w:t>
        <w:br/>
        <w:t xml:space="preserve">    spec,</w:t>
        <w:br/>
        <w:t xml:space="preserve">    ((0, 0), (0, 0), (0, pad_width)),</w:t>
        <w:br/>
        <w:t xml:space="preserve">    mode='constant',</w:t>
        <w:br/>
        <w:t xml:space="preserve">    constant_values=-100.0</w:t>
        <w:br/>
        <w:t>)</w:t>
      </w:r>
    </w:p>
    <w:p>
      <w:r>
        <w:t>Padding with \(-100\) dB represents very low energy, but it also introduces a constant artificial region. A model using these arrays directly should be told which time positions are padding, or the padding policy should be validated.</w:t>
      </w:r>
    </w:p>
    <w:p>
      <w:pPr>
        <w:pStyle w:val="Heading3"/>
      </w:pPr>
      <w:r>
        <w:t>Cell 10: robust batch processing</w:t>
      </w:r>
    </w:p>
    <w:p>
      <w:r>
        <w:t>The final loop is the reliable data-generation block. It:</w:t>
      </w:r>
    </w:p>
    <w:p>
      <w:pPr>
        <w:pStyle w:val="ListNumber"/>
      </w:pPr>
      <w:r>
        <w:t xml:space="preserve">discovers sorted </w:t>
      </w:r>
      <w:r>
        <w:rPr>
          <w:rFonts w:ascii="Consolas" w:hAnsi="Consolas" w:eastAsia="Consolas"/>
          <w:sz w:val="18"/>
        </w:rPr>
        <w:t>M*</w:t>
      </w:r>
      <w:r>
        <w:t xml:space="preserve"> and </w:t>
      </w:r>
      <w:r>
        <w:rPr>
          <w:rFonts w:ascii="Consolas" w:hAnsi="Consolas" w:eastAsia="Consolas"/>
          <w:sz w:val="18"/>
        </w:rPr>
        <w:t>C*</w:t>
      </w:r>
      <w:r>
        <w:t xml:space="preserve"> folders;</w:t>
      </w:r>
    </w:p>
    <w:p>
      <w:pPr>
        <w:pStyle w:val="ListNumber"/>
      </w:pPr>
      <w:r>
        <w:t>applies the exclusions;</w:t>
      </w:r>
    </w:p>
    <w:p>
      <w:pPr>
        <w:pStyle w:val="ListNumber"/>
      </w:pPr>
      <w:r>
        <w:t xml:space="preserve">recursively finds every </w:t>
      </w:r>
      <w:r>
        <w:rPr>
          <w:rFonts w:ascii="Consolas" w:hAnsi="Consolas" w:eastAsia="Consolas"/>
          <w:sz w:val="18"/>
        </w:rPr>
        <w:t>.bdf</w:t>
      </w:r>
      <w:r>
        <w:t>;</w:t>
      </w:r>
    </w:p>
    <w:p>
      <w:pPr>
        <w:pStyle w:val="ListNumber"/>
      </w:pPr>
      <w:r>
        <w:t xml:space="preserve">creates an output name by replacing </w:t>
      </w:r>
      <w:r>
        <w:rPr>
          <w:rFonts w:ascii="Consolas" w:hAnsi="Consolas" w:eastAsia="Consolas"/>
          <w:sz w:val="18"/>
        </w:rPr>
        <w:t>.bdf</w:t>
      </w:r>
      <w:r>
        <w:t xml:space="preserve"> with </w:t>
      </w:r>
      <w:r>
        <w:rPr>
          <w:rFonts w:ascii="Consolas" w:hAnsi="Consolas" w:eastAsia="Consolas"/>
          <w:sz w:val="18"/>
        </w:rPr>
        <w:t>.npy</w:t>
      </w:r>
      <w:r>
        <w:t>;</w:t>
      </w:r>
    </w:p>
    <w:p>
      <w:pPr>
        <w:pStyle w:val="ListNumber"/>
      </w:pPr>
      <w:r>
        <w:t>skips existing outputs;</w:t>
      </w:r>
    </w:p>
    <w:p>
      <w:pPr>
        <w:pStyle w:val="ListNumber"/>
      </w:pPr>
      <w:r>
        <w:t>preprocesses and generates the STFT;</w:t>
      </w:r>
    </w:p>
    <w:p>
      <w:pPr>
        <w:pStyle w:val="ListNumber"/>
      </w:pPr>
      <w:r>
        <w:t>pads or truncates to 2,000 time columns;</w:t>
      </w:r>
    </w:p>
    <w:p>
      <w:pPr>
        <w:pStyle w:val="ListNumber"/>
      </w:pPr>
      <w:r>
        <w:t xml:space="preserve">converts to </w:t>
      </w:r>
      <w:r>
        <w:rPr>
          <w:rFonts w:ascii="Consolas" w:hAnsi="Consolas" w:eastAsia="Consolas"/>
          <w:sz w:val="18"/>
        </w:rPr>
        <w:t>float32</w:t>
      </w:r>
      <w:r>
        <w:t>;</w:t>
      </w:r>
    </w:p>
    <w:p>
      <w:pPr>
        <w:pStyle w:val="ListNumber"/>
      </w:pPr>
      <w:r>
        <w:t xml:space="preserve">saves to </w:t>
      </w:r>
      <w:r>
        <w:rPr>
          <w:rFonts w:ascii="Consolas" w:hAnsi="Consolas" w:eastAsia="Consolas"/>
          <w:sz w:val="18"/>
        </w:rPr>
        <w:t>processed_data</w:t>
      </w:r>
      <w:r>
        <w:t>;</w:t>
      </w:r>
    </w:p>
    <w:p>
      <w:pPr>
        <w:pStyle w:val="ListNumber"/>
      </w:pPr>
      <w:r>
        <w:t>records labels and paths.</w:t>
      </w:r>
    </w:p>
    <w:p>
      <w:r>
        <w:t>The saved output reports 106 processed samples. The code therefore creates one sample per recording, not one sample per subject.</w:t>
      </w:r>
    </w:p>
    <w:p>
      <w:pPr>
        <w:pStyle w:val="Heading3"/>
      </w:pPr>
      <w:r>
        <w:t>Cell 11: class distribution</w:t>
      </w:r>
    </w:p>
    <w:p>
      <w:r>
        <w:t>The notebook counts:</w:t>
      </w:r>
    </w:p>
    <w:p>
      <w:pPr>
        <w:pStyle w:val="ListBullet"/>
      </w:pPr>
      <w:r>
        <w:t>Control: 67 samples</w:t>
      </w:r>
    </w:p>
    <w:p>
      <w:pPr>
        <w:pStyle w:val="ListBullet"/>
      </w:pPr>
      <w:r>
        <w:t>Migraine: 39 samples</w:t>
      </w:r>
    </w:p>
    <w:p>
      <w:pPr>
        <w:pStyle w:val="ListBullet"/>
      </w:pPr>
      <w:r>
        <w:t>Total: 106 samples</w:t>
      </w:r>
    </w:p>
    <w:p>
      <w:r>
        <w:t>The class ratio is approximately 63.2% control and 36.8% migraine. Accuracy alone can therefore be misleading.</w:t>
      </w:r>
    </w:p>
    <w:p>
      <w:pPr>
        <w:pStyle w:val="Heading3"/>
      </w:pPr>
      <w:r>
        <w:t>Cell 12: inspect one numeric spectrogram</w:t>
      </w:r>
    </w:p>
    <w:p>
      <w:r>
        <w:rPr>
          <w:rFonts w:ascii="Consolas" w:hAnsi="Consolas" w:eastAsia="Consolas"/>
          <w:sz w:val="18"/>
        </w:rPr>
        <w:t>plot_sample()</w:t>
      </w:r>
      <w:r>
        <w:t xml:space="preserve"> loads a </w:t>
      </w:r>
      <w:r>
        <w:rPr>
          <w:rFonts w:ascii="Consolas" w:hAnsi="Consolas" w:eastAsia="Consolas"/>
          <w:sz w:val="18"/>
        </w:rPr>
        <w:t>.npy</w:t>
      </w:r>
      <w:r>
        <w:t xml:space="preserve"> tensor and selects </w:t>
      </w:r>
      <w:r>
        <w:rPr>
          <w:rFonts w:ascii="Consolas" w:hAnsi="Consolas" w:eastAsia="Consolas"/>
          <w:sz w:val="18"/>
        </w:rPr>
        <w:t>channel_idx=80</w:t>
      </w:r>
      <w:r>
        <w:t>, described in the notebook as an occipital channel. It maps rows to 1–50 Hz and columns to time using:</w:t>
      </w:r>
    </w:p>
    <w:p>
      <w:pPr>
        <w:pStyle w:val="NoSpacing"/>
        <w:spacing w:before="60" w:after="100"/>
        <w:ind w:left="360"/>
        <w:shd w:fill="F2F2F2"/>
      </w:pPr>
      <w:r>
        <w:rPr>
          <w:rFonts w:ascii="Consolas" w:hAnsi="Consolas" w:eastAsia="Consolas"/>
          <w:color w:val="282828"/>
          <w:sz w:val="17"/>
        </w:rPr>
        <w:t>times = np.linspace(0, time_bins / (256/128), time_bins)</w:t>
      </w:r>
    </w:p>
    <w:p>
      <w:r>
        <w:t>Since the hop is 128 samples at 512 Hz, the intended time increment is 0.25 s. The plot uses a Viridis color map and a display range of \([-10,30]\) dB.</w:t>
      </w:r>
    </w:p>
    <w:p>
      <w:pPr>
        <w:pStyle w:val="Heading3"/>
      </w:pPr>
      <w:r>
        <w:t>Cell 13: render CNN images</w:t>
      </w:r>
    </w:p>
    <w:p>
      <w:r>
        <w:rPr>
          <w:rFonts w:ascii="Consolas" w:hAnsi="Consolas" w:eastAsia="Consolas"/>
          <w:sz w:val="18"/>
        </w:rPr>
        <w:t>generate_cnn_images()</w:t>
      </w:r>
      <w:r>
        <w:t>:</w:t>
      </w:r>
    </w:p>
    <w:p>
      <w:pPr>
        <w:pStyle w:val="ListBullet"/>
      </w:pPr>
      <w:r>
        <w:t xml:space="preserve">loads each </w:t>
      </w:r>
      <w:r>
        <w:rPr>
          <w:rFonts w:ascii="Consolas" w:hAnsi="Consolas" w:eastAsia="Consolas"/>
          <w:sz w:val="18"/>
        </w:rPr>
        <w:t>.npy</w:t>
      </w:r>
      <w:r>
        <w:t xml:space="preserve"> tensor;</w:t>
      </w:r>
    </w:p>
    <w:p>
      <w:pPr>
        <w:pStyle w:val="ListBullet"/>
      </w:pPr>
      <w:r>
        <w:t>selects channel 80;</w:t>
      </w:r>
    </w:p>
    <w:p>
      <w:pPr>
        <w:pStyle w:val="ListBullet"/>
      </w:pPr>
      <w:r>
        <w:t>uses 1–50 Hz as the vertical coordinate;</w:t>
      </w:r>
    </w:p>
    <w:p>
      <w:pPr>
        <w:pStyle w:val="ListBullet"/>
      </w:pPr>
      <w:r>
        <w:t xml:space="preserve">uses a Viridis </w:t>
      </w:r>
      <w:r>
        <w:rPr>
          <w:rFonts w:ascii="Consolas" w:hAnsi="Consolas" w:eastAsia="Consolas"/>
          <w:sz w:val="18"/>
        </w:rPr>
        <w:t>pcolormesh</w:t>
      </w:r>
      <w:r>
        <w:t>;</w:t>
      </w:r>
    </w:p>
    <w:p>
      <w:pPr>
        <w:pStyle w:val="ListBullet"/>
      </w:pPr>
      <w:r>
        <w:t>clips the display range to \([-10,30]\) dB;</w:t>
      </w:r>
    </w:p>
    <w:p>
      <w:pPr>
        <w:pStyle w:val="ListBullet"/>
      </w:pPr>
      <w:r>
        <w:t>limits the visible time range to 20 seconds;</w:t>
      </w:r>
    </w:p>
    <w:p>
      <w:pPr>
        <w:pStyle w:val="ListBullet"/>
      </w:pPr>
      <w:r>
        <w:t>writes a borderless 600 DPI PNG;</w:t>
      </w:r>
    </w:p>
    <w:p>
      <w:pPr>
        <w:pStyle w:val="ListBullet"/>
      </w:pPr>
      <w:r>
        <w:t xml:space="preserve">places the PNG under </w:t>
      </w:r>
      <w:r>
        <w:rPr>
          <w:rFonts w:ascii="Consolas" w:hAnsi="Consolas" w:eastAsia="Consolas"/>
          <w:sz w:val="18"/>
        </w:rPr>
        <w:t>cnn_spectrograms\Control</w:t>
      </w:r>
      <w:r>
        <w:t xml:space="preserve"> or </w:t>
      </w:r>
      <w:r>
        <w:rPr>
          <w:rFonts w:ascii="Consolas" w:hAnsi="Consolas" w:eastAsia="Consolas"/>
          <w:sz w:val="18"/>
        </w:rPr>
        <w:t>cnn_spectrograms\Migraine</w:t>
      </w:r>
      <w:r>
        <w:t>.</w:t>
      </w:r>
    </w:p>
    <w:p>
      <w:r>
        <w:t>This is the bridge between signal processing and computer vision. It reduces a 143-channel tensor to one occipital-channel image. The CNNs therefore do not see all EEG channels.</w:t>
      </w:r>
    </w:p>
    <w:p>
      <w:pPr>
        <w:pStyle w:val="Heading2"/>
      </w:pPr>
      <w:r>
        <w:t>4.3 Important data-preparation limitations</w:t>
      </w:r>
    </w:p>
    <w:p>
      <w:pPr>
        <w:pStyle w:val="ListNumber"/>
      </w:pPr>
      <w:r>
        <w:t>The first processing loop is out of order and should not be treated as a clean standalone execution.</w:t>
      </w:r>
    </w:p>
    <w:p>
      <w:pPr>
        <w:pStyle w:val="ListNumber"/>
      </w:pPr>
      <w:r>
        <w:t>The labels are inferred from filenames/folder names, not a separate metadata table.</w:t>
      </w:r>
    </w:p>
    <w:p>
      <w:pPr>
        <w:pStyle w:val="ListNumber"/>
      </w:pPr>
      <w:r>
        <w:t>Multiple task types are rendered into the same class folders.</w:t>
      </w:r>
    </w:p>
    <w:p>
      <w:pPr>
        <w:pStyle w:val="ListNumber"/>
      </w:pPr>
      <w:r>
        <w:t>Only channel 80 is used for the CNN image representation.</w:t>
      </w:r>
    </w:p>
    <w:p>
      <w:pPr>
        <w:pStyle w:val="ListNumber"/>
      </w:pPr>
      <w:r>
        <w:t>The image split later occurs after image loading and is not a subject-independent split.</w:t>
      </w:r>
    </w:p>
    <w:p>
      <w:pPr>
        <w:pStyle w:val="ListNumber"/>
      </w:pPr>
      <w:r>
        <w:t>The notebook uses Colab paths and Google Drive downloads.</w:t>
      </w:r>
    </w:p>
    <w:p>
      <w:pPr>
        <w:pStyle w:val="ListNumber"/>
      </w:pPr>
      <w:r>
        <w:t>The 60 Hz notch is applied after a 50 Hz upper cutoff.</w:t>
      </w:r>
    </w:p>
    <w:p>
      <w:pPr>
        <w:spacing w:after="40"/>
      </w:pPr>
      <w:r/>
    </w:p>
    <w:p>
      <w:pPr>
        <w:pStyle w:val="Heading1"/>
      </w:pPr>
      <w:r>
        <w:t>5. Notebooks 2–4: CNN classification</w:t>
      </w:r>
    </w:p>
    <w:p>
      <w:r>
        <w:t>The VGG16, ResNet50, and EfficientNetB7 notebooks have the same 54-cell workflow. Their differences are the backbone constructor, checkpoint filename, parameter count, and observed metrics.</w:t>
      </w:r>
    </w:p>
    <w:p>
      <w:pPr>
        <w:pStyle w:val="Heading2"/>
      </w:pPr>
      <w:r>
        <w:t>5.1 Shared cells 1–15: input preparation</w:t>
      </w:r>
    </w:p>
    <w:p>
      <w:pPr>
        <w:pStyle w:val="ListBullet"/>
      </w:pPr>
      <w:r>
        <w:rPr>
          <w:b/>
          <w:i w:val="0"/>
        </w:rPr>
        <w:t>Cell 1:</w:t>
      </w:r>
      <w:r>
        <w:t xml:space="preserve"> Markdown heading for dataset retrieval.</w:t>
      </w:r>
    </w:p>
    <w:p>
      <w:pPr>
        <w:pStyle w:val="ListBullet"/>
      </w:pPr>
      <w:r>
        <w:rPr>
          <w:b/>
          <w:i w:val="0"/>
        </w:rPr>
        <w:t>Cell 2:</w:t>
      </w:r>
      <w:r>
        <w:t xml:space="preserve"> Commented-out Google Drive mount.</w:t>
      </w:r>
    </w:p>
    <w:p>
      <w:pPr>
        <w:pStyle w:val="ListBullet"/>
      </w:pPr>
      <w:r>
        <w:rPr>
          <w:b/>
          <w:i w:val="0"/>
        </w:rPr>
        <w:t>Cell 3:</w:t>
      </w:r>
      <w:r>
        <w:t xml:space="preserve"> Downloads an approximately 80.5 MB </w:t>
      </w:r>
      <w:r>
        <w:rPr>
          <w:rFonts w:ascii="Consolas" w:hAnsi="Consolas" w:eastAsia="Consolas"/>
          <w:sz w:val="18"/>
        </w:rPr>
        <w:t>spectrograms.zip</w:t>
      </w:r>
      <w:r>
        <w:t xml:space="preserve"> archive with </w:t>
      </w:r>
      <w:r>
        <w:rPr>
          <w:rFonts w:ascii="Consolas" w:hAnsi="Consolas" w:eastAsia="Consolas"/>
          <w:sz w:val="18"/>
        </w:rPr>
        <w:t>gdown</w:t>
      </w:r>
      <w:r>
        <w:t>.</w:t>
      </w:r>
    </w:p>
    <w:p>
      <w:pPr>
        <w:pStyle w:val="ListBullet"/>
      </w:pPr>
      <w:r>
        <w:rPr>
          <w:b/>
          <w:i w:val="0"/>
        </w:rPr>
        <w:t>Cell 4:</w:t>
      </w:r>
      <w:r>
        <w:t xml:space="preserve"> Unzips into </w:t>
      </w:r>
      <w:r>
        <w:rPr>
          <w:rFonts w:ascii="Consolas" w:hAnsi="Consolas" w:eastAsia="Consolas"/>
          <w:sz w:val="18"/>
        </w:rPr>
        <w:t>dataset/</w:t>
      </w:r>
      <w:r>
        <w:t>.</w:t>
      </w:r>
    </w:p>
    <w:p>
      <w:pPr>
        <w:pStyle w:val="ListBullet"/>
      </w:pPr>
      <w:r>
        <w:rPr>
          <w:b/>
          <w:i w:val="0"/>
        </w:rPr>
        <w:t>Cells 5–7:</w:t>
      </w:r>
      <w:r>
        <w:t xml:space="preserve"> Import TensorFlow/Keras, NumPy, pandas, Matplotlib, seaborn, and scikit-learn metrics.</w:t>
      </w:r>
    </w:p>
    <w:p>
      <w:pPr>
        <w:pStyle w:val="ListBullet"/>
      </w:pPr>
      <w:r>
        <w:rPr>
          <w:b/>
          <w:i w:val="0"/>
        </w:rPr>
        <w:t>Cells 8–9:</w:t>
      </w:r>
      <w:r>
        <w:t xml:space="preserve"> Define:</w:t>
      </w:r>
    </w:p>
    <w:p>
      <w:r>
        <w:t>```python</w:t>
      </w:r>
    </w:p>
    <w:p>
      <w:r>
        <w:t>BATCH_SIZE = 16</w:t>
      </w:r>
    </w:p>
    <w:p>
      <w:r>
        <w:t>IMAGE_SIZE = 224</w:t>
      </w:r>
    </w:p>
    <w:p>
      <w:r>
        <w:t>CHANNELS = 3</w:t>
      </w:r>
    </w:p>
    <w:p>
      <w:r>
        <w:t>EPOCHS = 300</w:t>
      </w:r>
    </w:p>
    <w:p>
      <w:r>
        <w:t>PATH = '/content/dataset/spectrograms'</w:t>
      </w:r>
    </w:p>
    <w:p>
      <w:r>
        <w:t>```</w:t>
      </w:r>
    </w:p>
    <w:p>
      <w:pPr>
        <w:pStyle w:val="ListBullet"/>
      </w:pPr>
      <w:r>
        <w:rPr>
          <w:b/>
          <w:i w:val="0"/>
        </w:rPr>
        <w:t>Cells 10–11:</w:t>
      </w:r>
      <w:r>
        <w:t xml:space="preserve"> Explain </w:t>
      </w:r>
      <w:r>
        <w:rPr>
          <w:rFonts w:ascii="Consolas" w:hAnsi="Consolas" w:eastAsia="Consolas"/>
          <w:sz w:val="18"/>
        </w:rPr>
        <w:t>image_dataset_from_directory</w:t>
      </w:r>
      <w:r>
        <w:t>.</w:t>
      </w:r>
    </w:p>
    <w:p>
      <w:pPr>
        <w:pStyle w:val="ListBullet"/>
      </w:pPr>
      <w:r>
        <w:rPr>
          <w:b/>
          <w:i w:val="0"/>
        </w:rPr>
        <w:t>Cell 12:</w:t>
      </w:r>
      <w:r>
        <w:t xml:space="preserve"> Loads and resizes all images to \(224\times224\), shuffles with seed 42, and reports 106 files in two classes.</w:t>
      </w:r>
    </w:p>
    <w:p>
      <w:pPr>
        <w:pStyle w:val="ListBullet"/>
      </w:pPr>
      <w:r>
        <w:rPr>
          <w:b/>
          <w:i w:val="0"/>
        </w:rPr>
        <w:t>Cell 13:</w:t>
      </w:r>
      <w:r>
        <w:t xml:space="preserve"> Normalizes class labels to </w:t>
      </w:r>
      <w:r>
        <w:rPr>
          <w:rFonts w:ascii="Consolas" w:hAnsi="Consolas" w:eastAsia="Consolas"/>
          <w:sz w:val="18"/>
        </w:rPr>
        <w:t>['Control', 'Migraine']</w:t>
      </w:r>
      <w:r>
        <w:t>.</w:t>
      </w:r>
    </w:p>
    <w:p>
      <w:pPr>
        <w:pStyle w:val="ListBullet"/>
      </w:pPr>
      <w:r>
        <w:rPr>
          <w:b/>
          <w:i w:val="0"/>
        </w:rPr>
        <w:t>Cells 14–15:</w:t>
      </w:r>
      <w:r>
        <w:t xml:space="preserve"> Display one batch of up to 16 images in a 4×4 grid.</w:t>
      </w:r>
    </w:p>
    <w:p>
      <w:r>
        <w:t>The source PNGs are already RGB images, so Keras produces tensors shaped:</w:t>
      </w:r>
    </w:p>
    <w:p>
      <w:pPr>
        <w:pStyle w:val="NoSpacing"/>
        <w:spacing w:before="60" w:after="100"/>
        <w:ind w:left="360"/>
        <w:shd w:fill="F2F2F2"/>
      </w:pPr>
      <w:r>
        <w:rPr>
          <w:rFonts w:ascii="Consolas" w:hAnsi="Consolas" w:eastAsia="Consolas"/>
          <w:color w:val="282828"/>
          <w:sz w:val="17"/>
        </w:rPr>
        <w:t>(batch, 224, 224, 3)</w:t>
      </w:r>
    </w:p>
    <w:p>
      <w:pPr>
        <w:pStyle w:val="Heading2"/>
      </w:pPr>
      <w:r>
        <w:t>5.2 Shared cells 16–19: split</w:t>
      </w:r>
    </w:p>
    <w:p>
      <w:pPr>
        <w:pStyle w:val="NoSpacing"/>
        <w:spacing w:before="60" w:after="100"/>
        <w:ind w:left="360"/>
        <w:shd w:fill="F2F2F2"/>
      </w:pPr>
      <w:r>
        <w:rPr>
          <w:rFonts w:ascii="Consolas" w:hAnsi="Consolas" w:eastAsia="Consolas"/>
          <w:color w:val="282828"/>
          <w:sz w:val="17"/>
        </w:rPr>
        <w:t>TRAIN_SIZE, TESTING_SIZE = 0.6, 0.4</w:t>
        <w:br/>
        <w:t>train_batch = int(len(dataset) * TRAIN_SIZE)</w:t>
        <w:br/>
        <w:t>train_ds = dataset.take(train_batch).cache().prefetch(</w:t>
        <w:br/>
        <w:t xml:space="preserve">    buffer_size=tf.data.AUTOTUNE</w:t>
        <w:br/>
        <w:t>)</w:t>
        <w:br/>
        <w:t>test_batch = int(len(dataset) * TESTING_SIZE)</w:t>
        <w:br/>
        <w:t>test_ds = dataset.skip(train_batch).take(test_batch).cache().prefetch(</w:t>
        <w:br/>
        <w:t xml:space="preserve">    buffer_size=tf.data.AUTOTUNE</w:t>
        <w:br/>
        <w:t>)</w:t>
      </w:r>
    </w:p>
    <w:p>
      <w:r>
        <w:t>With 106 images and a batch size of 16, the dataset contains approximately seven batches. The integer calculation produces four training batches and three remaining batches, so the effective split is approximately 64/42 images rather than exactly 60/40.</w:t>
      </w:r>
    </w:p>
    <w:p>
      <w:r>
        <w:t xml:space="preserve">There is no separate validation set. </w:t>
      </w:r>
      <w:r>
        <w:rPr>
          <w:rFonts w:ascii="Consolas" w:hAnsi="Consolas" w:eastAsia="Consolas"/>
          <w:sz w:val="18"/>
        </w:rPr>
        <w:t>test_ds</w:t>
      </w:r>
      <w:r>
        <w:t xml:space="preserve"> is passed as </w:t>
      </w:r>
      <w:r>
        <w:rPr>
          <w:rFonts w:ascii="Consolas" w:hAnsi="Consolas" w:eastAsia="Consolas"/>
          <w:sz w:val="18"/>
        </w:rPr>
        <w:t>validation_data</w:t>
      </w:r>
      <w:r>
        <w:t xml:space="preserve"> during training and is also used for final reported metrics. Consequently, the reported test metrics are validation metrics under repeated model selection, not a fully untouched test estimate.</w:t>
      </w:r>
    </w:p>
    <w:p>
      <w:r>
        <w:t xml:space="preserve">Because the source dataset is shuffled before </w:t>
      </w:r>
      <w:r>
        <w:rPr>
          <w:rFonts w:ascii="Consolas" w:hAnsi="Consolas" w:eastAsia="Consolas"/>
          <w:sz w:val="18"/>
        </w:rPr>
        <w:t>take()</w:t>
      </w:r>
      <w:r>
        <w:t xml:space="preserve"> and </w:t>
      </w:r>
      <w:r>
        <w:rPr>
          <w:rFonts w:ascii="Consolas" w:hAnsi="Consolas" w:eastAsia="Consolas"/>
          <w:sz w:val="18"/>
        </w:rPr>
        <w:t>skip()</w:t>
      </w:r>
      <w:r>
        <w:t>, the split is reproducible only if TensorFlow's ordering and seed behavior remain unchanged. It is not stratified and is not grouped by subject.</w:t>
      </w:r>
    </w:p>
    <w:p>
      <w:pPr>
        <w:pStyle w:val="Heading2"/>
      </w:pPr>
      <w:r>
        <w:t>5.3 Shared cells 20–25: model construction</w:t>
      </w:r>
    </w:p>
    <w:p>
      <w:r>
        <w:t>Each notebook declares:</w:t>
      </w:r>
    </w:p>
    <w:p>
      <w:pPr>
        <w:pStyle w:val="NoSpacing"/>
        <w:spacing w:before="60" w:after="100"/>
        <w:ind w:left="360"/>
        <w:shd w:fill="F2F2F2"/>
      </w:pPr>
      <w:r>
        <w:rPr>
          <w:rFonts w:ascii="Consolas" w:hAnsi="Consolas" w:eastAsia="Consolas"/>
          <w:color w:val="282828"/>
          <w:sz w:val="17"/>
        </w:rPr>
        <w:t>resize_and_rescale = tf.keras.Sequential([</w:t>
        <w:br/>
        <w:t xml:space="preserve">    layers.Resizing(IMAGE_SIZE, IMAGE_SIZE),</w:t>
        <w:br/>
        <w:t xml:space="preserve">    layers.Rescaling(1./255),</w:t>
        <w:br/>
        <w:t>])</w:t>
      </w:r>
    </w:p>
    <w:p>
      <w:r>
        <w:t xml:space="preserve">However, this object is not connected to </w:t>
      </w:r>
      <w:r>
        <w:rPr>
          <w:rFonts w:ascii="Consolas" w:hAnsi="Consolas" w:eastAsia="Consolas"/>
          <w:sz w:val="18"/>
        </w:rPr>
        <w:t>inputs</w:t>
      </w:r>
      <w:r>
        <w:t xml:space="preserve"> in the Functional model. </w:t>
      </w:r>
      <w:r>
        <w:rPr>
          <w:rFonts w:ascii="Consolas" w:hAnsi="Consolas" w:eastAsia="Consolas"/>
          <w:sz w:val="18"/>
        </w:rPr>
        <w:t>image_dataset_from_directory</w:t>
      </w:r>
      <w:r>
        <w:t xml:space="preserve"> already resizes images, but the </w:t>
      </w:r>
      <w:r>
        <w:rPr>
          <w:rFonts w:ascii="Consolas" w:hAnsi="Consolas" w:eastAsia="Consolas"/>
          <w:sz w:val="18"/>
        </w:rPr>
        <w:t>Rescaling</w:t>
      </w:r>
      <w:r>
        <w:t xml:space="preserve"> layer is not applied by the declared pipeline.</w:t>
      </w:r>
    </w:p>
    <w:p>
      <w:r>
        <w:t>The actual model shape is:</w:t>
      </w:r>
    </w:p>
    <w:p>
      <w:pPr>
        <w:pStyle w:val="NoSpacing"/>
        <w:spacing w:before="60" w:after="100"/>
        <w:ind w:left="360"/>
        <w:shd w:fill="F2F2F2"/>
      </w:pPr>
      <w:r>
        <w:rPr>
          <w:rFonts w:ascii="Consolas" w:hAnsi="Consolas" w:eastAsia="Consolas"/>
          <w:color w:val="282828"/>
          <w:sz w:val="17"/>
        </w:rPr>
        <w:t>inputs = Input(shape=(224, 224, 3))</w:t>
        <w:br/>
        <w:t>base_model = BACKBONE(</w:t>
        <w:br/>
        <w:t xml:space="preserve">    include_top=False,</w:t>
        <w:br/>
        <w:t xml:space="preserve">    weights='imagenet',</w:t>
        <w:br/>
        <w:t xml:space="preserve">    input_tensor=inputs,</w:t>
        <w:br/>
        <w:t xml:space="preserve">    pooling='avg'</w:t>
        <w:br/>
        <w:t>)</w:t>
        <w:br/>
        <w:t>base_model.trainable = False</w:t>
        <w:br/>
        <w:t>x = base_model.output</w:t>
        <w:br/>
        <w:t>x = Dense(units=128, activation='relu')(x)</w:t>
        <w:br/>
        <w:t>outputs = Dense(2, activation='softmax')(x)</w:t>
        <w:br/>
        <w:t>model = Model(inputs=inputs, outputs=outputs)</w:t>
      </w:r>
    </w:p>
    <w:p>
      <w:r>
        <w:t>The frozen backbone performs feature extraction. Global average pooling converts the final feature map into a vector. A 128-unit ReLU layer adapts ImageNet features to this task:</w:t>
      </w:r>
    </w:p>
    <w:p>
      <w:pPr>
        <w:spacing w:before="100" w:after="100"/>
        <w:jc w:val="center"/>
      </w:pPr>
      <w:r>
        <w:drawing>
          <wp:inline xmlns:a="http://schemas.openxmlformats.org/drawingml/2006/main" xmlns:pic="http://schemas.openxmlformats.org/drawingml/2006/picture">
            <wp:extent cx="1306830" cy="125730"/>
            <wp:docPr id="5" name="Picture 5"/>
            <wp:cNvGraphicFramePr>
              <a:graphicFrameLocks noChangeAspect="1"/>
            </wp:cNvGraphicFramePr>
            <a:graphic>
              <a:graphicData uri="http://schemas.openxmlformats.org/drawingml/2006/picture">
                <pic:pic>
                  <pic:nvPicPr>
                    <pic:cNvPr id="0" name="equation_05.png"/>
                    <pic:cNvPicPr/>
                  </pic:nvPicPr>
                  <pic:blipFill>
                    <a:blip r:embed="rId14"/>
                    <a:stretch>
                      <a:fillRect/>
                    </a:stretch>
                  </pic:blipFill>
                  <pic:spPr>
                    <a:xfrm>
                      <a:off x="0" y="0"/>
                      <a:ext cx="1306830" cy="125730"/>
                    </a:xfrm>
                    <a:prstGeom prst="rect"/>
                  </pic:spPr>
                </pic:pic>
              </a:graphicData>
            </a:graphic>
          </wp:inline>
        </w:drawing>
      </w:r>
    </w:p>
    <w:p>
      <w:r>
        <w:t>The two-class softmax output is:</w:t>
      </w:r>
    </w:p>
    <w:p>
      <w:pPr>
        <w:spacing w:before="100" w:after="100"/>
        <w:jc w:val="center"/>
      </w:pPr>
      <w:r>
        <w:drawing>
          <wp:inline xmlns:a="http://schemas.openxmlformats.org/drawingml/2006/main" xmlns:pic="http://schemas.openxmlformats.org/drawingml/2006/picture">
            <wp:extent cx="731520" cy="480999"/>
            <wp:docPr id="6" name="Picture 6"/>
            <wp:cNvGraphicFramePr>
              <a:graphicFrameLocks noChangeAspect="1"/>
            </wp:cNvGraphicFramePr>
            <a:graphic>
              <a:graphicData uri="http://schemas.openxmlformats.org/drawingml/2006/picture">
                <pic:pic>
                  <pic:nvPicPr>
                    <pic:cNvPr id="0" name="equation_06.png"/>
                    <pic:cNvPicPr/>
                  </pic:nvPicPr>
                  <pic:blipFill>
                    <a:blip r:embed="rId15"/>
                    <a:stretch>
                      <a:fillRect/>
                    </a:stretch>
                  </pic:blipFill>
                  <pic:spPr>
                    <a:xfrm>
                      <a:off x="0" y="0"/>
                      <a:ext cx="731520" cy="480999"/>
                    </a:xfrm>
                    <a:prstGeom prst="rect"/>
                  </pic:spPr>
                </pic:pic>
              </a:graphicData>
            </a:graphic>
          </wp:inline>
        </w:drawing>
      </w:r>
    </w:p>
    <w:p>
      <w:r>
        <w:t>and the predicted class is \(\arg\max_k p_k\).</w:t>
      </w:r>
    </w:p>
    <w:p>
      <w:pPr>
        <w:pStyle w:val="Heading2"/>
      </w:pPr>
      <w:r>
        <w:t>5.4 Backbone comparison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Model</w:t>
            </w:r>
          </w:p>
        </w:tc>
        <w:tc>
          <w:tcPr>
            <w:tcW w:type="dxa" w:w="1987"/>
            <w:vAlign w:val="center"/>
            <w:shd w:fill="D9EAF7"/>
          </w:tcPr>
          <w:p>
            <w:r/>
            <w:r>
              <w:rPr>
                <w:b/>
                <w:sz w:val="18"/>
              </w:rPr>
              <w:t>Notebook</w:t>
            </w:r>
          </w:p>
        </w:tc>
        <w:tc>
          <w:tcPr>
            <w:tcW w:type="dxa" w:w="1987"/>
            <w:vAlign w:val="center"/>
            <w:shd w:fill="D9EAF7"/>
          </w:tcPr>
          <w:p>
            <w:r/>
            <w:r>
              <w:rPr>
                <w:b/>
                <w:sz w:val="18"/>
              </w:rPr>
              <w:t>Total parameters</w:t>
            </w:r>
          </w:p>
        </w:tc>
        <w:tc>
          <w:tcPr>
            <w:tcW w:type="dxa" w:w="1987"/>
            <w:vAlign w:val="center"/>
            <w:shd w:fill="D9EAF7"/>
          </w:tcPr>
          <w:p>
            <w:r/>
            <w:r>
              <w:rPr>
                <w:b/>
                <w:sz w:val="18"/>
              </w:rPr>
              <w:t>Trainable parameters</w:t>
            </w:r>
          </w:p>
        </w:tc>
        <w:tc>
          <w:tcPr>
            <w:tcW w:type="dxa" w:w="1987"/>
            <w:vAlign w:val="center"/>
            <w:shd w:fill="D9EAF7"/>
          </w:tcPr>
          <w:p>
            <w:r/>
            <w:r>
              <w:rPr>
                <w:b/>
                <w:sz w:val="18"/>
              </w:rPr>
              <w:t>Main architectural idea</w:t>
            </w:r>
          </w:p>
        </w:tc>
      </w:tr>
      <w:tr>
        <w:tc>
          <w:tcPr>
            <w:tcW w:type="dxa" w:w="1987"/>
            <w:vAlign w:val="center"/>
          </w:tcPr>
          <w:p>
            <w:r/>
            <w:r>
              <w:rPr>
                <w:b w:val="0"/>
                <w:sz w:val="18"/>
              </w:rPr>
              <w:t>VGG16</w:t>
            </w:r>
          </w:p>
        </w:tc>
        <w:tc>
          <w:tcPr>
            <w:tcW w:type="dxa" w:w="1987"/>
            <w:vAlign w:val="center"/>
          </w:tcPr>
          <w:p>
            <w:r/>
            <w:r>
              <w:rPr>
                <w:b w:val="0"/>
                <w:sz w:val="18"/>
              </w:rPr>
              <w:t>`Migraine_VGG16_Spectrogram.ipynb`</w:t>
            </w:r>
          </w:p>
        </w:tc>
        <w:tc>
          <w:tcPr>
            <w:tcW w:type="dxa" w:w="1987"/>
            <w:vAlign w:val="center"/>
          </w:tcPr>
          <w:p>
            <w:r/>
            <w:r>
              <w:rPr>
                <w:b w:val="0"/>
                <w:sz w:val="18"/>
              </w:rPr>
              <w:t>14,780,610</w:t>
            </w:r>
          </w:p>
        </w:tc>
        <w:tc>
          <w:tcPr>
            <w:tcW w:type="dxa" w:w="1987"/>
            <w:vAlign w:val="center"/>
          </w:tcPr>
          <w:p>
            <w:r/>
            <w:r>
              <w:rPr>
                <w:b w:val="0"/>
                <w:sz w:val="18"/>
              </w:rPr>
              <w:t>65,922</w:t>
            </w:r>
          </w:p>
        </w:tc>
        <w:tc>
          <w:tcPr>
            <w:tcW w:type="dxa" w:w="1987"/>
            <w:vAlign w:val="center"/>
          </w:tcPr>
          <w:p>
            <w:r/>
            <w:r>
              <w:rPr>
                <w:b w:val="0"/>
                <w:sz w:val="18"/>
              </w:rPr>
              <w:t>Sequential 3×3 convolution blocks and max pooling.</w:t>
            </w:r>
          </w:p>
        </w:tc>
      </w:tr>
      <w:tr>
        <w:tc>
          <w:tcPr>
            <w:tcW w:type="dxa" w:w="1987"/>
            <w:vAlign w:val="center"/>
          </w:tcPr>
          <w:p>
            <w:r/>
            <w:r>
              <w:rPr>
                <w:b w:val="0"/>
                <w:sz w:val="18"/>
              </w:rPr>
              <w:t>ResNet50</w:t>
            </w:r>
          </w:p>
        </w:tc>
        <w:tc>
          <w:tcPr>
            <w:tcW w:type="dxa" w:w="1987"/>
            <w:vAlign w:val="center"/>
          </w:tcPr>
          <w:p>
            <w:r/>
            <w:r>
              <w:rPr>
                <w:b w:val="0"/>
                <w:sz w:val="18"/>
              </w:rPr>
              <w:t>`Migraine_ResNet50_Spectrogram.ipynb`</w:t>
            </w:r>
          </w:p>
        </w:tc>
        <w:tc>
          <w:tcPr>
            <w:tcW w:type="dxa" w:w="1987"/>
            <w:vAlign w:val="center"/>
          </w:tcPr>
          <w:p>
            <w:r/>
            <w:r>
              <w:rPr>
                <w:b w:val="0"/>
                <w:sz w:val="18"/>
              </w:rPr>
              <w:t>23,850,242</w:t>
            </w:r>
          </w:p>
        </w:tc>
        <w:tc>
          <w:tcPr>
            <w:tcW w:type="dxa" w:w="1987"/>
            <w:vAlign w:val="center"/>
          </w:tcPr>
          <w:p>
            <w:r/>
            <w:r>
              <w:rPr>
                <w:b w:val="0"/>
                <w:sz w:val="18"/>
              </w:rPr>
              <w:t>262,530</w:t>
            </w:r>
          </w:p>
        </w:tc>
        <w:tc>
          <w:tcPr>
            <w:tcW w:type="dxa" w:w="1987"/>
            <w:vAlign w:val="center"/>
          </w:tcPr>
          <w:p>
            <w:r/>
            <w:r>
              <w:rPr>
                <w:b w:val="0"/>
                <w:sz w:val="18"/>
              </w:rPr>
              <w:t>Residual skip connections enable a deeper network.</w:t>
            </w:r>
          </w:p>
        </w:tc>
      </w:tr>
      <w:tr>
        <w:tc>
          <w:tcPr>
            <w:tcW w:type="dxa" w:w="1987"/>
            <w:vAlign w:val="center"/>
          </w:tcPr>
          <w:p>
            <w:r/>
            <w:r>
              <w:rPr>
                <w:b w:val="0"/>
                <w:sz w:val="18"/>
              </w:rPr>
              <w:t>EfficientNetB7</w:t>
            </w:r>
          </w:p>
        </w:tc>
        <w:tc>
          <w:tcPr>
            <w:tcW w:type="dxa" w:w="1987"/>
            <w:vAlign w:val="center"/>
          </w:tcPr>
          <w:p>
            <w:r/>
            <w:r>
              <w:rPr>
                <w:b w:val="0"/>
                <w:sz w:val="18"/>
              </w:rPr>
              <w:t>`Migraine_EfficientNetB7_Spectrogram.ipynb`</w:t>
            </w:r>
          </w:p>
        </w:tc>
        <w:tc>
          <w:tcPr>
            <w:tcW w:type="dxa" w:w="1987"/>
            <w:vAlign w:val="center"/>
          </w:tcPr>
          <w:p>
            <w:r/>
            <w:r>
              <w:rPr>
                <w:b w:val="0"/>
                <w:sz w:val="18"/>
              </w:rPr>
              <w:t>64,425,753</w:t>
            </w:r>
          </w:p>
        </w:tc>
        <w:tc>
          <w:tcPr>
            <w:tcW w:type="dxa" w:w="1987"/>
            <w:vAlign w:val="center"/>
          </w:tcPr>
          <w:p>
            <w:r/>
            <w:r>
              <w:rPr>
                <w:b w:val="0"/>
                <w:sz w:val="18"/>
              </w:rPr>
              <w:t>328,066</w:t>
            </w:r>
          </w:p>
        </w:tc>
        <w:tc>
          <w:tcPr>
            <w:tcW w:type="dxa" w:w="1987"/>
            <w:vAlign w:val="center"/>
          </w:tcPr>
          <w:p>
            <w:r/>
            <w:r>
              <w:rPr>
                <w:b w:val="0"/>
                <w:sz w:val="18"/>
              </w:rPr>
              <w:t>Compound-scaled convolutional architecture with substantially higher capacity.</w:t>
            </w:r>
          </w:p>
        </w:tc>
      </w:tr>
    </w:tbl>
    <w:p/>
    <w:p>
      <w:r>
        <w:t>All three use ImageNet weights and freeze the backbone, so only the classifier head is trained. This is transfer learning, not full fine-tuning.</w:t>
      </w:r>
    </w:p>
    <w:p>
      <w:pPr>
        <w:pStyle w:val="Heading2"/>
      </w:pPr>
      <w:r>
        <w:t>5.5 Shared cells 26–31: compile, checkpoint, and train</w:t>
      </w:r>
    </w:p>
    <w:p>
      <w:r>
        <w:t>The notebooks compile with:</w:t>
      </w:r>
    </w:p>
    <w:p>
      <w:pPr>
        <w:pStyle w:val="NoSpacing"/>
        <w:spacing w:before="60" w:after="100"/>
        <w:ind w:left="360"/>
        <w:shd w:fill="F2F2F2"/>
      </w:pPr>
      <w:r>
        <w:rPr>
          <w:rFonts w:ascii="Consolas" w:hAnsi="Consolas" w:eastAsia="Consolas"/>
          <w:color w:val="282828"/>
          <w:sz w:val="17"/>
        </w:rPr>
        <w:t>model.compile(</w:t>
        <w:br/>
        <w:t xml:space="preserve">    optimizer=tf.keras.optimizers.Adam(learning_rate=0.0001),</w:t>
        <w:br/>
        <w:t xml:space="preserve">    loss=tf.keras.losses.SparseCategoricalCrossentropy(from_logits=False),</w:t>
        <w:br/>
        <w:t xml:space="preserve">    metrics=['accuracy']</w:t>
        <w:br/>
        <w:t>)</w:t>
      </w:r>
    </w:p>
    <w:p>
      <w:r>
        <w:t>Adam adapts parameter-specific first and second moments. Sparse categorical cross-entropy for the true class \(y\) is:</w:t>
      </w:r>
    </w:p>
    <w:p>
      <w:pPr>
        <w:spacing w:before="100" w:after="100"/>
        <w:jc w:val="center"/>
      </w:pPr>
      <w:r>
        <w:drawing>
          <wp:inline xmlns:a="http://schemas.openxmlformats.org/drawingml/2006/main" xmlns:pic="http://schemas.openxmlformats.org/drawingml/2006/picture">
            <wp:extent cx="731520" cy="141585"/>
            <wp:docPr id="7" name="Picture 7"/>
            <wp:cNvGraphicFramePr>
              <a:graphicFrameLocks noChangeAspect="1"/>
            </wp:cNvGraphicFramePr>
            <a:graphic>
              <a:graphicData uri="http://schemas.openxmlformats.org/drawingml/2006/picture">
                <pic:pic>
                  <pic:nvPicPr>
                    <pic:cNvPr id="0" name="equation_07.png"/>
                    <pic:cNvPicPr/>
                  </pic:nvPicPr>
                  <pic:blipFill>
                    <a:blip r:embed="rId16"/>
                    <a:stretch>
                      <a:fillRect/>
                    </a:stretch>
                  </pic:blipFill>
                  <pic:spPr>
                    <a:xfrm>
                      <a:off x="0" y="0"/>
                      <a:ext cx="731520" cy="141585"/>
                    </a:xfrm>
                    <a:prstGeom prst="rect"/>
                  </pic:spPr>
                </pic:pic>
              </a:graphicData>
            </a:graphic>
          </wp:inline>
        </w:drawing>
      </w:r>
    </w:p>
    <w:p>
      <w:r>
        <w:t>The checkpoint callback writes the best model to:</w:t>
      </w:r>
    </w:p>
    <w:p>
      <w:pPr>
        <w:pStyle w:val="ListBullet"/>
      </w:pPr>
      <w:r>
        <w:rPr>
          <w:rFonts w:ascii="Consolas" w:hAnsi="Consolas" w:eastAsia="Consolas"/>
          <w:sz w:val="18"/>
        </w:rPr>
        <w:t>VGG16.keras</w:t>
      </w:r>
    </w:p>
    <w:p>
      <w:pPr>
        <w:pStyle w:val="ListBullet"/>
      </w:pPr>
      <w:r>
        <w:rPr>
          <w:rFonts w:ascii="Consolas" w:hAnsi="Consolas" w:eastAsia="Consolas"/>
          <w:sz w:val="18"/>
        </w:rPr>
        <w:t>ResNet.keras</w:t>
      </w:r>
    </w:p>
    <w:p>
      <w:pPr>
        <w:pStyle w:val="ListBullet"/>
      </w:pPr>
      <w:r>
        <w:rPr>
          <w:rFonts w:ascii="Consolas" w:hAnsi="Consolas" w:eastAsia="Consolas"/>
          <w:sz w:val="18"/>
        </w:rPr>
        <w:t>EfficientNet.keras</w:t>
      </w:r>
    </w:p>
    <w:p>
      <w:r>
        <w:t xml:space="preserve">The training call requests 300 epochs. No early stopping callback is present. The saved model is controlled by the default </w:t>
      </w:r>
      <w:r>
        <w:rPr>
          <w:rFonts w:ascii="Consolas" w:hAnsi="Consolas" w:eastAsia="Consolas"/>
          <w:sz w:val="18"/>
        </w:rPr>
        <w:t>ModelCheckpoint</w:t>
      </w:r>
      <w:r>
        <w:t xml:space="preserve"> behavior; the notebook should explicitly set </w:t>
      </w:r>
      <w:r>
        <w:rPr>
          <w:rFonts w:ascii="Consolas" w:hAnsi="Consolas" w:eastAsia="Consolas"/>
          <w:sz w:val="18"/>
        </w:rPr>
        <w:t>save_best_only=True</w:t>
      </w:r>
      <w:r>
        <w:t xml:space="preserve"> and monitor a named validation metric if “best” is a hard requirement.</w:t>
      </w:r>
    </w:p>
    <w:p>
      <w:pPr>
        <w:pStyle w:val="Heading2"/>
      </w:pPr>
      <w:r>
        <w:t>5.6 Cells 32–39: load and evaluate</w:t>
      </w:r>
    </w:p>
    <w:p>
      <w:r>
        <w:t xml:space="preserve">Cell 33 reloads the checkpoint using </w:t>
      </w:r>
      <w:r>
        <w:rPr>
          <w:rFonts w:ascii="Consolas" w:hAnsi="Consolas" w:eastAsia="Consolas"/>
          <w:sz w:val="18"/>
        </w:rPr>
        <w:t>load_model</w:t>
      </w:r>
      <w:r>
        <w:t>. Cell 37 collects:</w:t>
      </w:r>
    </w:p>
    <w:p>
      <w:pPr>
        <w:pStyle w:val="ListBullet"/>
      </w:pPr>
      <w:r>
        <w:t>predicted probability vectors;</w:t>
      </w:r>
    </w:p>
    <w:p>
      <w:pPr>
        <w:pStyle w:val="ListBullet"/>
      </w:pPr>
      <w:r>
        <w:t>argmax class predictions;</w:t>
      </w:r>
    </w:p>
    <w:p>
      <w:pPr>
        <w:pStyle w:val="ListBullet"/>
      </w:pPr>
      <w:r>
        <w:t>integer labels.</w:t>
      </w:r>
    </w:p>
    <w:p>
      <w:r>
        <w:t>Cell 39 computes:</w:t>
      </w:r>
    </w:p>
    <w:p>
      <w:r>
        <w:rPr>
          <w:b/>
          <w:i w:val="0"/>
        </w:rPr>
        <w:t>Accuracy</w:t>
      </w:r>
    </w:p>
    <w:p>
      <w:pPr>
        <w:spacing w:before="100" w:after="100"/>
        <w:jc w:val="center"/>
      </w:pPr>
      <w:r>
        <w:drawing>
          <wp:inline xmlns:a="http://schemas.openxmlformats.org/drawingml/2006/main" xmlns:pic="http://schemas.openxmlformats.org/drawingml/2006/picture">
            <wp:extent cx="1535430" cy="163830"/>
            <wp:docPr id="8" name="Picture 8"/>
            <wp:cNvGraphicFramePr>
              <a:graphicFrameLocks noChangeAspect="1"/>
            </wp:cNvGraphicFramePr>
            <a:graphic>
              <a:graphicData uri="http://schemas.openxmlformats.org/drawingml/2006/picture">
                <pic:pic>
                  <pic:nvPicPr>
                    <pic:cNvPr id="0" name="equation_08.png"/>
                    <pic:cNvPicPr/>
                  </pic:nvPicPr>
                  <pic:blipFill>
                    <a:blip r:embed="rId17"/>
                    <a:stretch>
                      <a:fillRect/>
                    </a:stretch>
                  </pic:blipFill>
                  <pic:spPr>
                    <a:xfrm>
                      <a:off x="0" y="0"/>
                      <a:ext cx="1535430" cy="163830"/>
                    </a:xfrm>
                    <a:prstGeom prst="rect"/>
                  </pic:spPr>
                </pic:pic>
              </a:graphicData>
            </a:graphic>
          </wp:inline>
        </w:drawing>
      </w:r>
    </w:p>
    <w:p>
      <w:r>
        <w:rPr>
          <w:b/>
          <w:i w:val="0"/>
        </w:rPr>
        <w:t>Precision</w:t>
      </w:r>
    </w:p>
    <w:p>
      <w:pPr>
        <w:spacing w:before="100" w:after="100"/>
        <w:jc w:val="center"/>
      </w:pPr>
      <w:r>
        <w:drawing>
          <wp:inline xmlns:a="http://schemas.openxmlformats.org/drawingml/2006/main" xmlns:pic="http://schemas.openxmlformats.org/drawingml/2006/picture">
            <wp:extent cx="1066800" cy="163830"/>
            <wp:docPr id="9" name="Picture 9"/>
            <wp:cNvGraphicFramePr>
              <a:graphicFrameLocks noChangeAspect="1"/>
            </wp:cNvGraphicFramePr>
            <a:graphic>
              <a:graphicData uri="http://schemas.openxmlformats.org/drawingml/2006/picture">
                <pic:pic>
                  <pic:nvPicPr>
                    <pic:cNvPr id="0" name="equation_09.png"/>
                    <pic:cNvPicPr/>
                  </pic:nvPicPr>
                  <pic:blipFill>
                    <a:blip r:embed="rId18"/>
                    <a:stretch>
                      <a:fillRect/>
                    </a:stretch>
                  </pic:blipFill>
                  <pic:spPr>
                    <a:xfrm>
                      <a:off x="0" y="0"/>
                      <a:ext cx="1066800" cy="163830"/>
                    </a:xfrm>
                    <a:prstGeom prst="rect"/>
                  </pic:spPr>
                </pic:pic>
              </a:graphicData>
            </a:graphic>
          </wp:inline>
        </w:drawing>
      </w:r>
    </w:p>
    <w:p>
      <w:r>
        <w:rPr>
          <w:b/>
          <w:i w:val="0"/>
        </w:rPr>
        <w:t>Recall</w:t>
      </w:r>
    </w:p>
    <w:p>
      <w:pPr>
        <w:spacing w:before="100" w:after="100"/>
        <w:jc w:val="center"/>
      </w:pPr>
      <w:r>
        <w:drawing>
          <wp:inline xmlns:a="http://schemas.openxmlformats.org/drawingml/2006/main" xmlns:pic="http://schemas.openxmlformats.org/drawingml/2006/picture">
            <wp:extent cx="899160" cy="163830"/>
            <wp:docPr id="10" name="Picture 10"/>
            <wp:cNvGraphicFramePr>
              <a:graphicFrameLocks noChangeAspect="1"/>
            </wp:cNvGraphicFramePr>
            <a:graphic>
              <a:graphicData uri="http://schemas.openxmlformats.org/drawingml/2006/picture">
                <pic:pic>
                  <pic:nvPicPr>
                    <pic:cNvPr id="0" name="equation_10.png"/>
                    <pic:cNvPicPr/>
                  </pic:nvPicPr>
                  <pic:blipFill>
                    <a:blip r:embed="rId19"/>
                    <a:stretch>
                      <a:fillRect/>
                    </a:stretch>
                  </pic:blipFill>
                  <pic:spPr>
                    <a:xfrm>
                      <a:off x="0" y="0"/>
                      <a:ext cx="899160" cy="163830"/>
                    </a:xfrm>
                    <a:prstGeom prst="rect"/>
                  </pic:spPr>
                </pic:pic>
              </a:graphicData>
            </a:graphic>
          </wp:inline>
        </w:drawing>
      </w:r>
    </w:p>
    <w:p>
      <w:r>
        <w:rPr>
          <w:b/>
          <w:i w:val="0"/>
        </w:rPr>
        <w:t>F1 score</w:t>
      </w:r>
    </w:p>
    <w:p>
      <w:pPr>
        <w:spacing w:before="100" w:after="100"/>
        <w:jc w:val="center"/>
      </w:pPr>
      <w:r>
        <w:drawing>
          <wp:inline xmlns:a="http://schemas.openxmlformats.org/drawingml/2006/main" xmlns:pic="http://schemas.openxmlformats.org/drawingml/2006/picture">
            <wp:extent cx="1165860" cy="163830"/>
            <wp:docPr id="11" name="Picture 11"/>
            <wp:cNvGraphicFramePr>
              <a:graphicFrameLocks noChangeAspect="1"/>
            </wp:cNvGraphicFramePr>
            <a:graphic>
              <a:graphicData uri="http://schemas.openxmlformats.org/drawingml/2006/picture">
                <pic:pic>
                  <pic:nvPicPr>
                    <pic:cNvPr id="0" name="equation_11.png"/>
                    <pic:cNvPicPr/>
                  </pic:nvPicPr>
                  <pic:blipFill>
                    <a:blip r:embed="rId20"/>
                    <a:stretch>
                      <a:fillRect/>
                    </a:stretch>
                  </pic:blipFill>
                  <pic:spPr>
                    <a:xfrm>
                      <a:off x="0" y="0"/>
                      <a:ext cx="1165860" cy="163830"/>
                    </a:xfrm>
                    <a:prstGeom prst="rect"/>
                  </pic:spPr>
                </pic:pic>
              </a:graphicData>
            </a:graphic>
          </wp:inline>
        </w:drawing>
      </w:r>
    </w:p>
    <w:p>
      <w:r>
        <w:t xml:space="preserve">The code requests </w:t>
      </w:r>
      <w:r>
        <w:rPr>
          <w:rFonts w:ascii="Consolas" w:hAnsi="Consolas" w:eastAsia="Consolas"/>
          <w:sz w:val="18"/>
        </w:rPr>
        <w:t>average='weighted'</w:t>
      </w:r>
      <w:r>
        <w:t>, so class-level scores are weighted by class support.</w:t>
      </w:r>
    </w:p>
    <w:p>
      <w:r>
        <w:rPr>
          <w:b/>
          <w:i w:val="0"/>
        </w:rPr>
        <w:t>Matthews correlation coefficient</w:t>
      </w:r>
    </w:p>
    <w:p>
      <w:r>
        <w:t>For binary labels:</w:t>
      </w:r>
    </w:p>
    <w:p>
      <w:pPr>
        <w:spacing w:before="100" w:after="100"/>
        <w:jc w:val="center"/>
      </w:pPr>
      <w:r>
        <w:drawing>
          <wp:inline xmlns:a="http://schemas.openxmlformats.org/drawingml/2006/main" xmlns:pic="http://schemas.openxmlformats.org/drawingml/2006/picture">
            <wp:extent cx="2156460" cy="213360"/>
            <wp:docPr id="12" name="Picture 12"/>
            <wp:cNvGraphicFramePr>
              <a:graphicFrameLocks noChangeAspect="1"/>
            </wp:cNvGraphicFramePr>
            <a:graphic>
              <a:graphicData uri="http://schemas.openxmlformats.org/drawingml/2006/picture">
                <pic:pic>
                  <pic:nvPicPr>
                    <pic:cNvPr id="0" name="equation_12.png"/>
                    <pic:cNvPicPr/>
                  </pic:nvPicPr>
                  <pic:blipFill>
                    <a:blip r:embed="rId21"/>
                    <a:stretch>
                      <a:fillRect/>
                    </a:stretch>
                  </pic:blipFill>
                  <pic:spPr>
                    <a:xfrm>
                      <a:off x="0" y="0"/>
                      <a:ext cx="2156460" cy="213360"/>
                    </a:xfrm>
                    <a:prstGeom prst="rect"/>
                  </pic:spPr>
                </pic:pic>
              </a:graphicData>
            </a:graphic>
          </wp:inline>
        </w:drawing>
      </w:r>
    </w:p>
    <w:p>
      <w:r>
        <w:t>MCC is useful for imbalanced binary data because it uses all four confusion-matrix cells.</w:t>
      </w:r>
    </w:p>
    <w:p>
      <w:pPr>
        <w:pStyle w:val="Heading2"/>
      </w:pPr>
      <w:r>
        <w:t>5.7 Observed notebook metrics</w:t>
      </w:r>
    </w:p>
    <w:p>
      <w:r>
        <w:t>These values are the outputs saved in the notebooks, not newly rerun values: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r/>
            <w:r>
              <w:rPr>
                <w:b/>
                <w:sz w:val="18"/>
              </w:rPr>
              <w:t>Model</w:t>
            </w:r>
          </w:p>
        </w:tc>
        <w:tc>
          <w:tcPr>
            <w:tcW w:type="dxa" w:w="1656"/>
            <w:vAlign w:val="center"/>
            <w:shd w:fill="D9EAF7"/>
          </w:tcPr>
          <w:p>
            <w:r/>
            <w:r>
              <w:rPr>
                <w:b/>
                <w:sz w:val="18"/>
              </w:rPr>
              <w:t>Accuracy</w:t>
            </w:r>
          </w:p>
        </w:tc>
        <w:tc>
          <w:tcPr>
            <w:tcW w:type="dxa" w:w="1656"/>
            <w:vAlign w:val="center"/>
            <w:shd w:fill="D9EAF7"/>
          </w:tcPr>
          <w:p>
            <w:r/>
            <w:r>
              <w:rPr>
                <w:b/>
                <w:sz w:val="18"/>
              </w:rPr>
              <w:t>Weighted F1</w:t>
            </w:r>
          </w:p>
        </w:tc>
        <w:tc>
          <w:tcPr>
            <w:tcW w:type="dxa" w:w="1656"/>
            <w:vAlign w:val="center"/>
            <w:shd w:fill="D9EAF7"/>
          </w:tcPr>
          <w:p>
            <w:r/>
            <w:r>
              <w:rPr>
                <w:b/>
                <w:sz w:val="18"/>
              </w:rPr>
              <w:t>Weighted recall</w:t>
            </w:r>
          </w:p>
        </w:tc>
        <w:tc>
          <w:tcPr>
            <w:tcW w:type="dxa" w:w="1656"/>
            <w:vAlign w:val="center"/>
            <w:shd w:fill="D9EAF7"/>
          </w:tcPr>
          <w:p>
            <w:r/>
            <w:r>
              <w:rPr>
                <w:b/>
                <w:sz w:val="18"/>
              </w:rPr>
              <w:t>Weighted precision</w:t>
            </w:r>
          </w:p>
        </w:tc>
        <w:tc>
          <w:tcPr>
            <w:tcW w:type="dxa" w:w="1656"/>
            <w:vAlign w:val="center"/>
            <w:shd w:fill="D9EAF7"/>
          </w:tcPr>
          <w:p>
            <w:r/>
            <w:r>
              <w:rPr>
                <w:b/>
                <w:sz w:val="18"/>
              </w:rPr>
              <w:t>MCC</w:t>
            </w:r>
          </w:p>
        </w:tc>
      </w:tr>
      <w:tr>
        <w:tc>
          <w:tcPr>
            <w:tcW w:type="dxa" w:w="1656"/>
            <w:vAlign w:val="center"/>
          </w:tcPr>
          <w:p>
            <w:r/>
            <w:r>
              <w:rPr>
                <w:b w:val="0"/>
                <w:sz w:val="18"/>
              </w:rPr>
              <w:t>VGG16</w:t>
            </w:r>
          </w:p>
        </w:tc>
        <w:tc>
          <w:tcPr>
            <w:tcW w:type="dxa" w:w="1656"/>
            <w:vAlign w:val="center"/>
          </w:tcPr>
          <w:p>
            <w:r/>
            <w:r>
              <w:rPr>
                <w:b w:val="0"/>
                <w:sz w:val="18"/>
              </w:rPr>
              <w:t>0.90625</w:t>
            </w:r>
          </w:p>
        </w:tc>
        <w:tc>
          <w:tcPr>
            <w:tcW w:type="dxa" w:w="1656"/>
            <w:vAlign w:val="center"/>
          </w:tcPr>
          <w:p>
            <w:r/>
            <w:r>
              <w:rPr>
                <w:b w:val="0"/>
                <w:sz w:val="18"/>
              </w:rPr>
              <w:t>0.90714</w:t>
            </w:r>
          </w:p>
        </w:tc>
        <w:tc>
          <w:tcPr>
            <w:tcW w:type="dxa" w:w="1656"/>
            <w:vAlign w:val="center"/>
          </w:tcPr>
          <w:p>
            <w:r/>
            <w:r>
              <w:rPr>
                <w:b w:val="0"/>
                <w:sz w:val="18"/>
              </w:rPr>
              <w:t>0.90625</w:t>
            </w:r>
          </w:p>
        </w:tc>
        <w:tc>
          <w:tcPr>
            <w:tcW w:type="dxa" w:w="1656"/>
            <w:vAlign w:val="center"/>
          </w:tcPr>
          <w:p>
            <w:r/>
            <w:r>
              <w:rPr>
                <w:b w:val="0"/>
                <w:sz w:val="18"/>
              </w:rPr>
              <w:t>0.90990</w:t>
            </w:r>
          </w:p>
        </w:tc>
        <w:tc>
          <w:tcPr>
            <w:tcW w:type="dxa" w:w="1656"/>
            <w:vAlign w:val="center"/>
          </w:tcPr>
          <w:p>
            <w:r/>
            <w:r>
              <w:rPr>
                <w:b w:val="0"/>
                <w:sz w:val="18"/>
              </w:rPr>
              <w:t>0.79845</w:t>
            </w:r>
          </w:p>
        </w:tc>
      </w:tr>
      <w:tr>
        <w:tc>
          <w:tcPr>
            <w:tcW w:type="dxa" w:w="1656"/>
            <w:vAlign w:val="center"/>
          </w:tcPr>
          <w:p>
            <w:r/>
            <w:r>
              <w:rPr>
                <w:b w:val="0"/>
                <w:sz w:val="18"/>
              </w:rPr>
              <w:t>ResNet50</w:t>
            </w:r>
          </w:p>
        </w:tc>
        <w:tc>
          <w:tcPr>
            <w:tcW w:type="dxa" w:w="1656"/>
            <w:vAlign w:val="center"/>
          </w:tcPr>
          <w:p>
            <w:r/>
            <w:r>
              <w:rPr>
                <w:b w:val="0"/>
                <w:sz w:val="18"/>
              </w:rPr>
              <w:t>0.87500</w:t>
            </w:r>
          </w:p>
        </w:tc>
        <w:tc>
          <w:tcPr>
            <w:tcW w:type="dxa" w:w="1656"/>
            <w:vAlign w:val="center"/>
          </w:tcPr>
          <w:p>
            <w:r/>
            <w:r>
              <w:rPr>
                <w:b w:val="0"/>
                <w:sz w:val="18"/>
              </w:rPr>
              <w:t>0.87708</w:t>
            </w:r>
          </w:p>
        </w:tc>
        <w:tc>
          <w:tcPr>
            <w:tcW w:type="dxa" w:w="1656"/>
            <w:vAlign w:val="center"/>
          </w:tcPr>
          <w:p>
            <w:r/>
            <w:r>
              <w:rPr>
                <w:b w:val="0"/>
                <w:sz w:val="18"/>
              </w:rPr>
              <w:t>0.87500</w:t>
            </w:r>
          </w:p>
        </w:tc>
        <w:tc>
          <w:tcPr>
            <w:tcW w:type="dxa" w:w="1656"/>
            <w:vAlign w:val="center"/>
          </w:tcPr>
          <w:p>
            <w:r/>
            <w:r>
              <w:rPr>
                <w:b w:val="0"/>
                <w:sz w:val="18"/>
              </w:rPr>
              <w:t>0.88613</w:t>
            </w:r>
          </w:p>
        </w:tc>
        <w:tc>
          <w:tcPr>
            <w:tcW w:type="dxa" w:w="1656"/>
            <w:vAlign w:val="center"/>
          </w:tcPr>
          <w:p>
            <w:r/>
            <w:r>
              <w:rPr>
                <w:b w:val="0"/>
                <w:sz w:val="18"/>
              </w:rPr>
              <w:t>0.74100</w:t>
            </w:r>
          </w:p>
        </w:tc>
      </w:tr>
      <w:tr>
        <w:tc>
          <w:tcPr>
            <w:tcW w:type="dxa" w:w="1656"/>
            <w:vAlign w:val="center"/>
          </w:tcPr>
          <w:p>
            <w:r/>
            <w:r>
              <w:rPr>
                <w:b w:val="0"/>
                <w:sz w:val="18"/>
              </w:rPr>
              <w:t>EfficientNetB7</w:t>
            </w:r>
          </w:p>
        </w:tc>
        <w:tc>
          <w:tcPr>
            <w:tcW w:type="dxa" w:w="1656"/>
            <w:vAlign w:val="center"/>
          </w:tcPr>
          <w:p>
            <w:r/>
            <w:r>
              <w:rPr>
                <w:b w:val="0"/>
                <w:sz w:val="18"/>
              </w:rPr>
              <w:t>0.93750</w:t>
            </w:r>
          </w:p>
        </w:tc>
        <w:tc>
          <w:tcPr>
            <w:tcW w:type="dxa" w:w="1656"/>
            <w:vAlign w:val="center"/>
          </w:tcPr>
          <w:p>
            <w:r/>
            <w:r>
              <w:rPr>
                <w:b w:val="0"/>
                <w:sz w:val="18"/>
              </w:rPr>
              <w:t>0.93854</w:t>
            </w:r>
          </w:p>
        </w:tc>
        <w:tc>
          <w:tcPr>
            <w:tcW w:type="dxa" w:w="1656"/>
            <w:vAlign w:val="center"/>
          </w:tcPr>
          <w:p>
            <w:r/>
            <w:r>
              <w:rPr>
                <w:b w:val="0"/>
                <w:sz w:val="18"/>
              </w:rPr>
              <w:t>0.93750</w:t>
            </w:r>
          </w:p>
        </w:tc>
        <w:tc>
          <w:tcPr>
            <w:tcW w:type="dxa" w:w="1656"/>
            <w:vAlign w:val="center"/>
          </w:tcPr>
          <w:p>
            <w:r/>
            <w:r>
              <w:rPr>
                <w:b w:val="0"/>
                <w:sz w:val="18"/>
              </w:rPr>
              <w:t>0.94712</w:t>
            </w:r>
          </w:p>
        </w:tc>
        <w:tc>
          <w:tcPr>
            <w:tcW w:type="dxa" w:w="1656"/>
            <w:vAlign w:val="center"/>
          </w:tcPr>
          <w:p>
            <w:r/>
            <w:r>
              <w:rPr>
                <w:b w:val="0"/>
                <w:sz w:val="18"/>
              </w:rPr>
              <w:t>0.87497</w:t>
            </w:r>
          </w:p>
        </w:tc>
      </w:tr>
    </w:tbl>
    <w:p/>
    <w:p>
      <w:r>
        <w:t>EfficientNetB7 is the highest in this saved run, followed by VGG16 and ResNet50. The result should not be interpreted as a definitive ranking because:</w:t>
      </w:r>
    </w:p>
    <w:p>
      <w:pPr>
        <w:pStyle w:val="ListBullet"/>
      </w:pPr>
      <w:r>
        <w:t>the evaluation set is small;</w:t>
      </w:r>
    </w:p>
    <w:p>
      <w:pPr>
        <w:pStyle w:val="ListBullet"/>
      </w:pPr>
      <w:r>
        <w:t>the split is not subject-independent;</w:t>
      </w:r>
    </w:p>
    <w:p>
      <w:pPr>
        <w:pStyle w:val="ListBullet"/>
      </w:pPr>
      <w:r>
        <w:t>no external test cohort is used;</w:t>
      </w:r>
    </w:p>
    <w:p>
      <w:pPr>
        <w:pStyle w:val="ListBullet"/>
      </w:pPr>
      <w:r>
        <w:t>only one random seed is shown;</w:t>
      </w:r>
    </w:p>
    <w:p>
      <w:pPr>
        <w:pStyle w:val="ListBullet"/>
      </w:pPr>
      <w:r>
        <w:t>the test/validation set is used during training;</w:t>
      </w:r>
    </w:p>
    <w:p>
      <w:pPr>
        <w:pStyle w:val="ListBullet"/>
      </w:pPr>
      <w:r>
        <w:t>class and task composition may confound the result.</w:t>
      </w:r>
    </w:p>
    <w:p>
      <w:pPr>
        <w:pStyle w:val="Heading2"/>
      </w:pPr>
      <w:r>
        <w:t>5.8 Cells 40–44: ROC and confusion matrix</w:t>
      </w:r>
    </w:p>
    <w:p>
      <w:r>
        <w:t>The ROC helper one-hot encodes labels and computes a one-vs-rest curve for each class:</w:t>
      </w:r>
    </w:p>
    <w:p>
      <w:pPr>
        <w:spacing w:before="100" w:after="100"/>
        <w:jc w:val="center"/>
      </w:pPr>
      <w:r>
        <w:drawing>
          <wp:inline xmlns:a="http://schemas.openxmlformats.org/drawingml/2006/main" xmlns:pic="http://schemas.openxmlformats.org/drawingml/2006/picture">
            <wp:extent cx="1813560" cy="163830"/>
            <wp:docPr id="13" name="Picture 13"/>
            <wp:cNvGraphicFramePr>
              <a:graphicFrameLocks noChangeAspect="1"/>
            </wp:cNvGraphicFramePr>
            <a:graphic>
              <a:graphicData uri="http://schemas.openxmlformats.org/drawingml/2006/picture">
                <pic:pic>
                  <pic:nvPicPr>
                    <pic:cNvPr id="0" name="equation_13.png"/>
                    <pic:cNvPicPr/>
                  </pic:nvPicPr>
                  <pic:blipFill>
                    <a:blip r:embed="rId22"/>
                    <a:stretch>
                      <a:fillRect/>
                    </a:stretch>
                  </pic:blipFill>
                  <pic:spPr>
                    <a:xfrm>
                      <a:off x="0" y="0"/>
                      <a:ext cx="1813560" cy="163830"/>
                    </a:xfrm>
                    <a:prstGeom prst="rect"/>
                  </pic:spPr>
                </pic:pic>
              </a:graphicData>
            </a:graphic>
          </wp:inline>
        </w:drawing>
      </w:r>
    </w:p>
    <w:p>
      <w:r>
        <w:t xml:space="preserve">The area under the curve (AUC) is computed by trapezoidal integration of TPR versus FPR. The plot is saved as </w:t>
      </w:r>
      <w:r>
        <w:rPr>
          <w:rFonts w:ascii="Consolas" w:hAnsi="Consolas" w:eastAsia="Consolas"/>
          <w:sz w:val="18"/>
        </w:rPr>
        <w:t>ROC AUC Curve.png</w:t>
      </w:r>
      <w:r>
        <w:t>.</w:t>
      </w:r>
    </w:p>
    <w:p>
      <w:r>
        <w:t xml:space="preserve">The confusion matrix counts actual-versus-predicted class pairs and is drawn with seaborn. The EfficientNet notebook's filename is </w:t>
      </w:r>
      <w:r>
        <w:rPr>
          <w:rFonts w:ascii="Consolas" w:hAnsi="Consolas" w:eastAsia="Consolas"/>
          <w:sz w:val="18"/>
        </w:rPr>
        <w:t>Efficientnet CM.png</w:t>
      </w:r>
      <w:r>
        <w:t>; the same code pattern appears in all model notebooks, so output names should be checked before comparing saved artifacts.</w:t>
      </w:r>
    </w:p>
    <w:p>
      <w:pPr>
        <w:pStyle w:val="Heading2"/>
      </w:pPr>
      <w:r>
        <w:t>5.9 Cells 45–47: learning curves</w:t>
      </w:r>
    </w:p>
    <w:p>
      <w:r>
        <w:t>The training history contains:</w:t>
      </w:r>
    </w:p>
    <w:p>
      <w:pPr>
        <w:pStyle w:val="ListBullet"/>
      </w:pPr>
      <w:r>
        <w:rPr>
          <w:rFonts w:ascii="Consolas" w:hAnsi="Consolas" w:eastAsia="Consolas"/>
          <w:sz w:val="18"/>
        </w:rPr>
        <w:t>accuracy</w:t>
      </w:r>
      <w:r>
        <w:t>;</w:t>
      </w:r>
    </w:p>
    <w:p>
      <w:pPr>
        <w:pStyle w:val="ListBullet"/>
      </w:pPr>
      <w:r>
        <w:rPr>
          <w:rFonts w:ascii="Consolas" w:hAnsi="Consolas" w:eastAsia="Consolas"/>
          <w:sz w:val="18"/>
        </w:rPr>
        <w:t>val_accuracy</w:t>
      </w:r>
      <w:r>
        <w:t>;</w:t>
      </w:r>
    </w:p>
    <w:p>
      <w:pPr>
        <w:pStyle w:val="ListBullet"/>
      </w:pPr>
      <w:r>
        <w:rPr>
          <w:rFonts w:ascii="Consolas" w:hAnsi="Consolas" w:eastAsia="Consolas"/>
          <w:sz w:val="18"/>
        </w:rPr>
        <w:t>loss</w:t>
      </w:r>
      <w:r>
        <w:t>;</w:t>
      </w:r>
    </w:p>
    <w:p>
      <w:pPr>
        <w:pStyle w:val="ListBullet"/>
      </w:pPr>
      <w:r>
        <w:rPr>
          <w:rFonts w:ascii="Consolas" w:hAnsi="Consolas" w:eastAsia="Consolas"/>
          <w:sz w:val="18"/>
        </w:rPr>
        <w:t>val_loss</w:t>
      </w:r>
      <w:r>
        <w:t>.</w:t>
      </w:r>
    </w:p>
    <w:p>
      <w:r>
        <w:t xml:space="preserve">The notebook plots training and validation curves. These curves are intended to reveal underfitting, overfitting, or unstable optimization. Since </w:t>
      </w:r>
      <w:r>
        <w:rPr>
          <w:rFonts w:ascii="Consolas" w:hAnsi="Consolas" w:eastAsia="Consolas"/>
          <w:sz w:val="18"/>
        </w:rPr>
        <w:t>test_ds</w:t>
      </w:r>
      <w:r>
        <w:t xml:space="preserve"> is used as </w:t>
      </w:r>
      <w:r>
        <w:rPr>
          <w:rFonts w:ascii="Consolas" w:hAnsi="Consolas" w:eastAsia="Consolas"/>
          <w:sz w:val="18"/>
        </w:rPr>
        <w:t>validation_data</w:t>
      </w:r>
      <w:r>
        <w:t>, the label “validation” is technically more accurate than “test” for this stage.</w:t>
      </w:r>
    </w:p>
    <w:p>
      <w:pPr>
        <w:pStyle w:val="Heading2"/>
      </w:pPr>
      <w:r>
        <w:t>5.10 Cells 48–52: inference</w:t>
      </w:r>
    </w:p>
    <w:p>
      <w:r>
        <w:t xml:space="preserve">The </w:t>
      </w:r>
      <w:r>
        <w:rPr>
          <w:rFonts w:ascii="Consolas" w:hAnsi="Consolas" w:eastAsia="Consolas"/>
          <w:sz w:val="18"/>
        </w:rPr>
        <w:t>predict()</w:t>
      </w:r>
      <w:r>
        <w:t xml:space="preserve"> helper converts one TensorFlow image tensor to a batch of one, calls </w:t>
      </w:r>
      <w:r>
        <w:rPr>
          <w:rFonts w:ascii="Consolas" w:hAnsi="Consolas" w:eastAsia="Consolas"/>
          <w:sz w:val="18"/>
        </w:rPr>
        <w:t>model.predict</w:t>
      </w:r>
      <w:r>
        <w:t>, selects the maximum softmax probability, and returns:</w:t>
      </w:r>
    </w:p>
    <w:p>
      <w:pPr>
        <w:pStyle w:val="NoSpacing"/>
        <w:spacing w:before="60" w:after="100"/>
        <w:ind w:left="360"/>
        <w:shd w:fill="F2F2F2"/>
      </w:pPr>
      <w:r>
        <w:rPr>
          <w:rFonts w:ascii="Consolas" w:hAnsi="Consolas" w:eastAsia="Consolas"/>
          <w:color w:val="282828"/>
          <w:sz w:val="17"/>
        </w:rPr>
        <w:t>(predicted_class, confidence_percentage)</w:t>
      </w:r>
    </w:p>
    <w:p>
      <w:r>
        <w:t>The final loop displays sample images with actual label, predicted label, and confidence. Confidence is the maximum model probability, not a calibrated probability of clinical correctness.</w:t>
      </w:r>
    </w:p>
    <w:p>
      <w:pPr>
        <w:pStyle w:val="Heading2"/>
      </w:pPr>
      <w:r>
        <w:t>5.11 Cell 53</w:t>
      </w:r>
    </w:p>
    <w:p>
      <w:r>
        <w:t xml:space="preserve">The final cell calls </w:t>
      </w:r>
      <w:r>
        <w:rPr>
          <w:rFonts w:ascii="Consolas" w:hAnsi="Consolas" w:eastAsia="Consolas"/>
          <w:sz w:val="18"/>
        </w:rPr>
        <w:t>google.colab.runtime.unassign()</w:t>
      </w:r>
      <w:r>
        <w:t xml:space="preserve"> to release the Colab runtime. It is not needed for local execution.</w:t>
      </w:r>
    </w:p>
    <w:p>
      <w:pPr>
        <w:spacing w:after="40"/>
      </w:pPr>
      <w:r/>
    </w:p>
    <w:p>
      <w:pPr>
        <w:pStyle w:val="Heading1"/>
      </w:pPr>
      <w:r>
        <w:t>6. Notebook 5: `spectrogram_binaural_treatment.ipynb`</w:t>
      </w:r>
    </w:p>
    <w:p>
      <w:r>
        <w:t>This notebook does not use the CNN predictions. It directly consumes PNG spectrograms, especially resting-state migraine images, and produces personalized acoustic prescriptions.</w:t>
      </w:r>
    </w:p>
    <w:p>
      <w:pPr>
        <w:pStyle w:val="Heading2"/>
      </w:pPr>
      <w:r>
        <w:t>6.1 Cells 1–3: rationale and equations</w:t>
      </w:r>
    </w:p>
    <w:p>
      <w:r>
        <w:t>The first three Markdown cells describe:</w:t>
      </w:r>
    </w:p>
    <w:p>
      <w:pPr>
        <w:pStyle w:val="ListNumber"/>
      </w:pPr>
      <w:r>
        <w:t>the overall diagnostic-to-treatment pipeline;</w:t>
      </w:r>
    </w:p>
    <w:p>
      <w:pPr>
        <w:pStyle w:val="ListNumber"/>
      </w:pPr>
      <w:r>
        <w:t>selected literature and parameter rationale;</w:t>
      </w:r>
    </w:p>
    <w:p>
      <w:pPr>
        <w:pStyle w:val="ListNumber"/>
      </w:pPr>
      <w:r>
        <w:t>the mathematical signal-processing formulation.</w:t>
      </w:r>
    </w:p>
    <w:p>
      <w:r>
        <w:t>The treatment notebook assumes that the PNG was rendered using Viridis with a known display range of \([-10,+30]\) dB and a frequency range of 1–50 Hz. This assumption is essential: a generic PNG without the same colormap, limits, axes, or colorbar cannot be inverted reliably.</w:t>
      </w:r>
    </w:p>
    <w:p>
      <w:pPr>
        <w:pStyle w:val="Heading2"/>
      </w:pPr>
      <w:r>
        <w:t>6.2 Cell 5: environment setup</w:t>
      </w:r>
    </w:p>
    <w:p>
      <w:r>
        <w:t>The code imports:</w:t>
      </w:r>
    </w:p>
    <w:p>
      <w:pPr>
        <w:pStyle w:val="ListBullet"/>
      </w:pPr>
      <w:r>
        <w:t>NumPy for array operations;</w:t>
      </w:r>
    </w:p>
    <w:p>
      <w:pPr>
        <w:pStyle w:val="ListBullet"/>
      </w:pPr>
      <w:r>
        <w:t>Matplotlib for visualization and Viridis;</w:t>
      </w:r>
    </w:p>
    <w:p>
      <w:pPr>
        <w:pStyle w:val="ListBullet"/>
      </w:pPr>
      <w:r>
        <w:t>PIL for image loading;</w:t>
      </w:r>
    </w:p>
    <w:p>
      <w:pPr>
        <w:pStyle w:val="ListBullet"/>
      </w:pPr>
      <w:r>
        <w:t xml:space="preserve">SciPy </w:t>
      </w:r>
      <w:r>
        <w:rPr>
          <w:rFonts w:ascii="Consolas" w:hAnsi="Consolas" w:eastAsia="Consolas"/>
          <w:sz w:val="18"/>
        </w:rPr>
        <w:t>wavfile</w:t>
      </w:r>
      <w:r>
        <w:t xml:space="preserve"> for WAV export;</w:t>
      </w:r>
    </w:p>
    <w:p>
      <w:pPr>
        <w:pStyle w:val="ListBullet"/>
      </w:pPr>
      <w:r>
        <w:t>IPython display for audio playback.</w:t>
      </w:r>
    </w:p>
    <w:p>
      <w:r>
        <w:t xml:space="preserve">It creates </w:t>
      </w:r>
      <w:r>
        <w:rPr>
          <w:rFonts w:ascii="Consolas" w:hAnsi="Consolas" w:eastAsia="Consolas"/>
          <w:sz w:val="18"/>
        </w:rPr>
        <w:t>audio_prescriptions/</w:t>
      </w:r>
      <w:r>
        <w:t xml:space="preserve"> as the output directory.</w:t>
      </w:r>
    </w:p>
    <w:p>
      <w:pPr>
        <w:pStyle w:val="Heading2"/>
      </w:pPr>
      <w:r>
        <w:t>6.3 Cell 7: invert the PNG into spectral metrics</w:t>
      </w:r>
    </w:p>
    <w:p>
      <w:r>
        <w:t>The notebook creates a 256-entry RGB Viridis lookup table:</w:t>
      </w:r>
    </w:p>
    <w:p>
      <w:pPr>
        <w:pStyle w:val="NoSpacing"/>
        <w:spacing w:before="60" w:after="100"/>
        <w:ind w:left="360"/>
        <w:shd w:fill="F2F2F2"/>
      </w:pPr>
      <w:r>
        <w:rPr>
          <w:rFonts w:ascii="Consolas" w:hAnsi="Consolas" w:eastAsia="Consolas"/>
          <w:color w:val="282828"/>
          <w:sz w:val="17"/>
        </w:rPr>
        <w:t>VIRIDIS_LUT = (</w:t>
        <w:br/>
        <w:t xml:space="preserve">    plt.cm.viridis(np.linspace(0.0, 1.0, 256))[:, :3] * 255.0</w:t>
        <w:br/>
        <w:t>).astype(np.float32)</w:t>
      </w:r>
    </w:p>
    <w:p>
      <w:r>
        <w:t>For an image pixel \(p(y,t)\), it finds the nearest LUT color:</w:t>
      </w:r>
    </w:p>
    <w:p>
      <w:pPr>
        <w:spacing w:before="100" w:after="100"/>
        <w:jc w:val="center"/>
      </w:pPr>
      <w:r>
        <w:drawing>
          <wp:inline xmlns:a="http://schemas.openxmlformats.org/drawingml/2006/main" xmlns:pic="http://schemas.openxmlformats.org/drawingml/2006/picture">
            <wp:extent cx="2552700" cy="266700"/>
            <wp:docPr id="14" name="Picture 14"/>
            <wp:cNvGraphicFramePr>
              <a:graphicFrameLocks noChangeAspect="1"/>
            </wp:cNvGraphicFramePr>
            <a:graphic>
              <a:graphicData uri="http://schemas.openxmlformats.org/drawingml/2006/picture">
                <pic:pic>
                  <pic:nvPicPr>
                    <pic:cNvPr id="0" name="equation_14.png"/>
                    <pic:cNvPicPr/>
                  </pic:nvPicPr>
                  <pic:blipFill>
                    <a:blip r:embed="rId23"/>
                    <a:stretch>
                      <a:fillRect/>
                    </a:stretch>
                  </pic:blipFill>
                  <pic:spPr>
                    <a:xfrm>
                      <a:off x="0" y="0"/>
                      <a:ext cx="2552700" cy="266700"/>
                    </a:xfrm>
                    <a:prstGeom prst="rect"/>
                  </pic:spPr>
                </pic:pic>
              </a:graphicData>
            </a:graphic>
          </wp:inline>
        </w:drawing>
      </w:r>
    </w:p>
    <w:p>
      <w:r>
        <w:t>The normalized LUT coordinate is:</w:t>
      </w:r>
    </w:p>
    <w:p>
      <w:pPr>
        <w:spacing w:before="100" w:after="100"/>
        <w:jc w:val="center"/>
      </w:pPr>
      <w:r>
        <w:drawing>
          <wp:inline xmlns:a="http://schemas.openxmlformats.org/drawingml/2006/main" xmlns:pic="http://schemas.openxmlformats.org/drawingml/2006/picture">
            <wp:extent cx="762000" cy="213360"/>
            <wp:docPr id="15" name="Picture 15"/>
            <wp:cNvGraphicFramePr>
              <a:graphicFrameLocks noChangeAspect="1"/>
            </wp:cNvGraphicFramePr>
            <a:graphic>
              <a:graphicData uri="http://schemas.openxmlformats.org/drawingml/2006/picture">
                <pic:pic>
                  <pic:nvPicPr>
                    <pic:cNvPr id="0" name="equation_15.png"/>
                    <pic:cNvPicPr/>
                  </pic:nvPicPr>
                  <pic:blipFill>
                    <a:blip r:embed="rId24"/>
                    <a:stretch>
                      <a:fillRect/>
                    </a:stretch>
                  </pic:blipFill>
                  <pic:spPr>
                    <a:xfrm>
                      <a:off x="0" y="0"/>
                      <a:ext cx="762000" cy="213360"/>
                    </a:xfrm>
                    <a:prstGeom prst="rect"/>
                  </pic:spPr>
                </pic:pic>
              </a:graphicData>
            </a:graphic>
          </wp:inline>
        </w:drawing>
      </w:r>
    </w:p>
    <w:p>
      <w:r>
        <w:t>The code reconstructs the display decibel value:</w:t>
      </w:r>
    </w:p>
    <w:p>
      <w:pPr>
        <w:spacing w:before="100" w:after="100"/>
        <w:jc w:val="center"/>
      </w:pPr>
      <w:r>
        <w:drawing>
          <wp:inline xmlns:a="http://schemas.openxmlformats.org/drawingml/2006/main" xmlns:pic="http://schemas.openxmlformats.org/drawingml/2006/picture">
            <wp:extent cx="1562100" cy="190500"/>
            <wp:docPr id="16" name="Picture 16"/>
            <wp:cNvGraphicFramePr>
              <a:graphicFrameLocks noChangeAspect="1"/>
            </wp:cNvGraphicFramePr>
            <a:graphic>
              <a:graphicData uri="http://schemas.openxmlformats.org/drawingml/2006/picture">
                <pic:pic>
                  <pic:nvPicPr>
                    <pic:cNvPr id="0" name="equation_16.png"/>
                    <pic:cNvPicPr/>
                  </pic:nvPicPr>
                  <pic:blipFill>
                    <a:blip r:embed="rId25"/>
                    <a:stretch>
                      <a:fillRect/>
                    </a:stretch>
                  </pic:blipFill>
                  <pic:spPr>
                    <a:xfrm>
                      <a:off x="0" y="0"/>
                      <a:ext cx="1562100" cy="190500"/>
                    </a:xfrm>
                    <a:prstGeom prst="rect"/>
                  </pic:spPr>
                </pic:pic>
              </a:graphicData>
            </a:graphic>
          </wp:inline>
        </w:drawing>
      </w:r>
    </w:p>
    <w:p>
      <w:r>
        <w:t>Then it converts dB to linear power:</w:t>
      </w:r>
    </w:p>
    <w:p>
      <w:pPr>
        <w:spacing w:before="100" w:after="100"/>
        <w:jc w:val="center"/>
      </w:pPr>
      <w:r>
        <w:drawing>
          <wp:inline xmlns:a="http://schemas.openxmlformats.org/drawingml/2006/main" xmlns:pic="http://schemas.openxmlformats.org/drawingml/2006/picture">
            <wp:extent cx="1181100" cy="163830"/>
            <wp:docPr id="17" name="Picture 17"/>
            <wp:cNvGraphicFramePr>
              <a:graphicFrameLocks noChangeAspect="1"/>
            </wp:cNvGraphicFramePr>
            <a:graphic>
              <a:graphicData uri="http://schemas.openxmlformats.org/drawingml/2006/picture">
                <pic:pic>
                  <pic:nvPicPr>
                    <pic:cNvPr id="0" name="equation_17.png"/>
                    <pic:cNvPicPr/>
                  </pic:nvPicPr>
                  <pic:blipFill>
                    <a:blip r:embed="rId26"/>
                    <a:stretch>
                      <a:fillRect/>
                    </a:stretch>
                  </pic:blipFill>
                  <pic:spPr>
                    <a:xfrm>
                      <a:off x="0" y="0"/>
                      <a:ext cx="1181100" cy="163830"/>
                    </a:xfrm>
                    <a:prstGeom prst="rect"/>
                  </pic:spPr>
                </pic:pic>
              </a:graphicData>
            </a:graphic>
          </wp:inline>
        </w:drawing>
      </w:r>
    </w:p>
    <w:p>
      <w:r>
        <w:t>The image is resized to 600 columns by 400 rows. Rows are mapped from top to bottom as:</w:t>
      </w:r>
    </w:p>
    <w:p>
      <w:pPr>
        <w:spacing w:before="100" w:after="100"/>
        <w:jc w:val="center"/>
      </w:pPr>
      <w:r>
        <w:drawing>
          <wp:inline xmlns:a="http://schemas.openxmlformats.org/drawingml/2006/main" xmlns:pic="http://schemas.openxmlformats.org/drawingml/2006/picture">
            <wp:extent cx="952500" cy="190500"/>
            <wp:docPr id="18" name="Picture 18"/>
            <wp:cNvGraphicFramePr>
              <a:graphicFrameLocks noChangeAspect="1"/>
            </wp:cNvGraphicFramePr>
            <a:graphic>
              <a:graphicData uri="http://schemas.openxmlformats.org/drawingml/2006/picture">
                <pic:pic>
                  <pic:nvPicPr>
                    <pic:cNvPr id="0" name="equation_18.png"/>
                    <pic:cNvPicPr/>
                  </pic:nvPicPr>
                  <pic:blipFill>
                    <a:blip r:embed="rId27"/>
                    <a:stretch>
                      <a:fillRect/>
                    </a:stretch>
                  </pic:blipFill>
                  <pic:spPr>
                    <a:xfrm>
                      <a:off x="0" y="0"/>
                      <a:ext cx="952500" cy="190500"/>
                    </a:xfrm>
                    <a:prstGeom prst="rect"/>
                  </pic:spPr>
                </pic:pic>
              </a:graphicData>
            </a:graphic>
          </wp:inline>
        </w:drawing>
      </w:r>
    </w:p>
    <w:p>
      <w:r>
        <w:t>This is why the code constructs:</w:t>
      </w:r>
    </w:p>
    <w:p>
      <w:pPr>
        <w:pStyle w:val="NoSpacing"/>
        <w:spacing w:before="60" w:after="100"/>
        <w:ind w:left="360"/>
        <w:shd w:fill="F2F2F2"/>
      </w:pPr>
      <w:r>
        <w:rPr>
          <w:rFonts w:ascii="Consolas" w:hAnsi="Consolas" w:eastAsia="Consolas"/>
          <w:color w:val="282828"/>
          <w:sz w:val="17"/>
        </w:rPr>
        <w:t>frequencies = np.linspace(50.0, 1.0, target_height)</w:t>
      </w:r>
    </w:p>
    <w:p>
      <w:r>
        <w:t>The time-averaged PSD is:</w:t>
      </w:r>
    </w:p>
    <w:p>
      <w:pPr>
        <w:spacing w:before="100" w:after="100"/>
        <w:jc w:val="center"/>
      </w:pPr>
      <w:r>
        <w:drawing>
          <wp:inline xmlns:a="http://schemas.openxmlformats.org/drawingml/2006/main" xmlns:pic="http://schemas.openxmlformats.org/drawingml/2006/picture">
            <wp:extent cx="1127760" cy="354330"/>
            <wp:docPr id="19" name="Picture 19"/>
            <wp:cNvGraphicFramePr>
              <a:graphicFrameLocks noChangeAspect="1"/>
            </wp:cNvGraphicFramePr>
            <a:graphic>
              <a:graphicData uri="http://schemas.openxmlformats.org/drawingml/2006/picture">
                <pic:pic>
                  <pic:nvPicPr>
                    <pic:cNvPr id="0" name="equation_19.png"/>
                    <pic:cNvPicPr/>
                  </pic:nvPicPr>
                  <pic:blipFill>
                    <a:blip r:embed="rId28"/>
                    <a:stretch>
                      <a:fillRect/>
                    </a:stretch>
                  </pic:blipFill>
                  <pic:spPr>
                    <a:xfrm>
                      <a:off x="0" y="0"/>
                      <a:ext cx="1127760" cy="354330"/>
                    </a:xfrm>
                    <a:prstGeom prst="rect"/>
                  </pic:spPr>
                </pic:pic>
              </a:graphicData>
            </a:graphic>
          </wp:inline>
        </w:drawing>
      </w:r>
    </w:p>
    <w:p>
      <w:r>
        <w:t>For each canonical band \(b\), the raw band power is the mean PSD over all rows whose mapped frequencies lie in that band:</w:t>
      </w:r>
    </w:p>
    <w:p>
      <w:pPr>
        <w:spacing w:before="100" w:after="100"/>
        <w:jc w:val="center"/>
      </w:pPr>
      <w:r>
        <w:drawing>
          <wp:inline xmlns:a="http://schemas.openxmlformats.org/drawingml/2006/main" xmlns:pic="http://schemas.openxmlformats.org/drawingml/2006/picture">
            <wp:extent cx="1013460" cy="289560"/>
            <wp:docPr id="20" name="Picture 20"/>
            <wp:cNvGraphicFramePr>
              <a:graphicFrameLocks noChangeAspect="1"/>
            </wp:cNvGraphicFramePr>
            <a:graphic>
              <a:graphicData uri="http://schemas.openxmlformats.org/drawingml/2006/picture">
                <pic:pic>
                  <pic:nvPicPr>
                    <pic:cNvPr id="0" name="equation_20.png"/>
                    <pic:cNvPicPr/>
                  </pic:nvPicPr>
                  <pic:blipFill>
                    <a:blip r:embed="rId29"/>
                    <a:stretch>
                      <a:fillRect/>
                    </a:stretch>
                  </pic:blipFill>
                  <pic:spPr>
                    <a:xfrm>
                      <a:off x="0" y="0"/>
                      <a:ext cx="1013460" cy="289560"/>
                    </a:xfrm>
                    <a:prstGeom prst="rect"/>
                  </pic:spPr>
                </pic:pic>
              </a:graphicData>
            </a:graphic>
          </wp:inline>
        </w:drawing>
      </w:r>
    </w:p>
    <w:p>
      <w:r>
        <w:t>The normalized proportion is:</w:t>
      </w:r>
    </w:p>
    <w:p>
      <w:pPr>
        <w:spacing w:before="100" w:after="100"/>
        <w:jc w:val="center"/>
      </w:pPr>
      <w:r>
        <w:drawing>
          <wp:inline xmlns:a="http://schemas.openxmlformats.org/drawingml/2006/main" xmlns:pic="http://schemas.openxmlformats.org/drawingml/2006/picture">
            <wp:extent cx="731520" cy="475786"/>
            <wp:docPr id="21" name="Picture 21"/>
            <wp:cNvGraphicFramePr>
              <a:graphicFrameLocks noChangeAspect="1"/>
            </wp:cNvGraphicFramePr>
            <a:graphic>
              <a:graphicData uri="http://schemas.openxmlformats.org/drawingml/2006/picture">
                <pic:pic>
                  <pic:nvPicPr>
                    <pic:cNvPr id="0" name="equation_21.png"/>
                    <pic:cNvPicPr/>
                  </pic:nvPicPr>
                  <pic:blipFill>
                    <a:blip r:embed="rId30"/>
                    <a:stretch>
                      <a:fillRect/>
                    </a:stretch>
                  </pic:blipFill>
                  <pic:spPr>
                    <a:xfrm>
                      <a:off x="0" y="0"/>
                      <a:ext cx="731520" cy="475786"/>
                    </a:xfrm>
                    <a:prstGeom prst="rect"/>
                  </pic:spPr>
                </pic:pic>
              </a:graphicData>
            </a:graphic>
          </wp:inline>
        </w:drawing>
      </w:r>
    </w:p>
    <w:p>
      <w:r>
        <w:t>IAF is the frequency in the alpha band with maximum reconstructed PSD:</w:t>
      </w:r>
    </w:p>
    <w:p>
      <w:pPr>
        <w:spacing w:before="100" w:after="100"/>
        <w:jc w:val="center"/>
      </w:pPr>
      <w:r>
        <w:drawing>
          <wp:inline xmlns:a="http://schemas.openxmlformats.org/drawingml/2006/main" xmlns:pic="http://schemas.openxmlformats.org/drawingml/2006/picture">
            <wp:extent cx="1219200" cy="240030"/>
            <wp:docPr id="22" name="Picture 22"/>
            <wp:cNvGraphicFramePr>
              <a:graphicFrameLocks noChangeAspect="1"/>
            </wp:cNvGraphicFramePr>
            <a:graphic>
              <a:graphicData uri="http://schemas.openxmlformats.org/drawingml/2006/picture">
                <pic:pic>
                  <pic:nvPicPr>
                    <pic:cNvPr id="0" name="equation_22.png"/>
                    <pic:cNvPicPr/>
                  </pic:nvPicPr>
                  <pic:blipFill>
                    <a:blip r:embed="rId31"/>
                    <a:stretch>
                      <a:fillRect/>
                    </a:stretch>
                  </pic:blipFill>
                  <pic:spPr>
                    <a:xfrm>
                      <a:off x="0" y="0"/>
                      <a:ext cx="1219200" cy="240030"/>
                    </a:xfrm>
                    <a:prstGeom prst="rect"/>
                  </pic:spPr>
                </pic:pic>
              </a:graphicData>
            </a:graphic>
          </wp:inline>
        </w:drawing>
      </w:r>
    </w:p>
    <w:p>
      <w:r>
        <w:t>The code computes:</w:t>
      </w:r>
    </w:p>
    <w:p>
      <w:pPr>
        <w:spacing w:before="100" w:after="100"/>
        <w:jc w:val="center"/>
      </w:pPr>
      <w:r>
        <w:drawing>
          <wp:inline xmlns:a="http://schemas.openxmlformats.org/drawingml/2006/main" xmlns:pic="http://schemas.openxmlformats.org/drawingml/2006/picture">
            <wp:extent cx="2004060" cy="213360"/>
            <wp:docPr id="23" name="Picture 23"/>
            <wp:cNvGraphicFramePr>
              <a:graphicFrameLocks noChangeAspect="1"/>
            </wp:cNvGraphicFramePr>
            <a:graphic>
              <a:graphicData uri="http://schemas.openxmlformats.org/drawingml/2006/picture">
                <pic:pic>
                  <pic:nvPicPr>
                    <pic:cNvPr id="0" name="equation_23.png"/>
                    <pic:cNvPicPr/>
                  </pic:nvPicPr>
                  <pic:blipFill>
                    <a:blip r:embed="rId32"/>
                    <a:stretch>
                      <a:fillRect/>
                    </a:stretch>
                  </pic:blipFill>
                  <pic:spPr>
                    <a:xfrm>
                      <a:off x="0" y="0"/>
                      <a:ext cx="2004060" cy="213360"/>
                    </a:xfrm>
                    <a:prstGeom prst="rect"/>
                  </pic:spPr>
                </pic:pic>
              </a:graphicData>
            </a:graphic>
          </wp:inline>
        </w:drawing>
      </w:r>
    </w:p>
    <w:p>
      <w:r>
        <w:t>and:</w:t>
      </w:r>
    </w:p>
    <w:p>
      <w:pPr>
        <w:spacing w:before="100" w:after="100"/>
        <w:jc w:val="center"/>
      </w:pPr>
      <w:r>
        <w:drawing>
          <wp:inline xmlns:a="http://schemas.openxmlformats.org/drawingml/2006/main" xmlns:pic="http://schemas.openxmlformats.org/drawingml/2006/picture">
            <wp:extent cx="2068830" cy="137160"/>
            <wp:docPr id="24" name="Picture 24"/>
            <wp:cNvGraphicFramePr>
              <a:graphicFrameLocks noChangeAspect="1"/>
            </wp:cNvGraphicFramePr>
            <a:graphic>
              <a:graphicData uri="http://schemas.openxmlformats.org/drawingml/2006/picture">
                <pic:pic>
                  <pic:nvPicPr>
                    <pic:cNvPr id="0" name="equation_24.png"/>
                    <pic:cNvPicPr/>
                  </pic:nvPicPr>
                  <pic:blipFill>
                    <a:blip r:embed="rId33"/>
                    <a:stretch>
                      <a:fillRect/>
                    </a:stretch>
                  </pic:blipFill>
                  <pic:spPr>
                    <a:xfrm>
                      <a:off x="0" y="0"/>
                      <a:ext cx="2068830" cy="137160"/>
                    </a:xfrm>
                    <a:prstGeom prst="rect"/>
                  </pic:spPr>
                </pic:pic>
              </a:graphicData>
            </a:graphic>
          </wp:inline>
        </w:drawing>
      </w:r>
    </w:p>
    <w:p>
      <w:r>
        <w:t>The returned report includes the original path, frequency vector, PSD, full linear-power matrix, raw and normalized band powers, IAF, TAR, TBR, and alpha deficit.</w:t>
      </w:r>
    </w:p>
    <w:p>
      <w:pPr>
        <w:pStyle w:val="Heading2"/>
      </w:pPr>
      <w:r>
        <w:t>6.4 Cell 9: synthesize binaural beats</w:t>
      </w:r>
    </w:p>
    <w:p>
      <w:r>
        <w:t>The function accepts beat frequency \(f_{\mathrm{beat}}\), carrier \(f_c\), duration, sample rate, amplitude, and fade duration.</w:t>
      </w:r>
    </w:p>
    <w:p>
      <w:r>
        <w:t>It sets:</w:t>
      </w:r>
    </w:p>
    <w:p>
      <w:pPr>
        <w:spacing w:before="100" w:after="100"/>
        <w:jc w:val="center"/>
      </w:pPr>
      <w:r>
        <w:drawing>
          <wp:inline xmlns:a="http://schemas.openxmlformats.org/drawingml/2006/main" xmlns:pic="http://schemas.openxmlformats.org/drawingml/2006/picture">
            <wp:extent cx="1725930" cy="175260"/>
            <wp:docPr id="25" name="Picture 25"/>
            <wp:cNvGraphicFramePr>
              <a:graphicFrameLocks noChangeAspect="1"/>
            </wp:cNvGraphicFramePr>
            <a:graphic>
              <a:graphicData uri="http://schemas.openxmlformats.org/drawingml/2006/picture">
                <pic:pic>
                  <pic:nvPicPr>
                    <pic:cNvPr id="0" name="equation_25.png"/>
                    <pic:cNvPicPr/>
                  </pic:nvPicPr>
                  <pic:blipFill>
                    <a:blip r:embed="rId34"/>
                    <a:stretch>
                      <a:fillRect/>
                    </a:stretch>
                  </pic:blipFill>
                  <pic:spPr>
                    <a:xfrm>
                      <a:off x="0" y="0"/>
                      <a:ext cx="1725930" cy="175260"/>
                    </a:xfrm>
                    <a:prstGeom prst="rect"/>
                  </pic:spPr>
                </pic:pic>
              </a:graphicData>
            </a:graphic>
          </wp:inline>
        </w:drawing>
      </w:r>
    </w:p>
    <w:p>
      <w:r>
        <w:t>so:</w:t>
      </w:r>
    </w:p>
    <w:p>
      <w:pPr>
        <w:spacing w:before="100" w:after="100"/>
        <w:jc w:val="center"/>
      </w:pPr>
      <w:r>
        <w:drawing>
          <wp:inline xmlns:a="http://schemas.openxmlformats.org/drawingml/2006/main" xmlns:pic="http://schemas.openxmlformats.org/drawingml/2006/picture">
            <wp:extent cx="861060" cy="137160"/>
            <wp:docPr id="26" name="Picture 26"/>
            <wp:cNvGraphicFramePr>
              <a:graphicFrameLocks noChangeAspect="1"/>
            </wp:cNvGraphicFramePr>
            <a:graphic>
              <a:graphicData uri="http://schemas.openxmlformats.org/drawingml/2006/picture">
                <pic:pic>
                  <pic:nvPicPr>
                    <pic:cNvPr id="0" name="equation_26.png"/>
                    <pic:cNvPicPr/>
                  </pic:nvPicPr>
                  <pic:blipFill>
                    <a:blip r:embed="rId35"/>
                    <a:stretch>
                      <a:fillRect/>
                    </a:stretch>
                  </pic:blipFill>
                  <pic:spPr>
                    <a:xfrm>
                      <a:off x="0" y="0"/>
                      <a:ext cx="861060" cy="137160"/>
                    </a:xfrm>
                    <a:prstGeom prst="rect"/>
                  </pic:spPr>
                </pic:pic>
              </a:graphicData>
            </a:graphic>
          </wp:inline>
        </w:drawing>
      </w:r>
    </w:p>
    <w:p>
      <w:r>
        <w:t>The left and right channels are:</w:t>
      </w:r>
    </w:p>
    <w:p>
      <w:pPr>
        <w:spacing w:before="100" w:after="100"/>
        <w:jc w:val="center"/>
      </w:pPr>
      <w:r>
        <w:drawing>
          <wp:inline xmlns:a="http://schemas.openxmlformats.org/drawingml/2006/main" xmlns:pic="http://schemas.openxmlformats.org/drawingml/2006/picture">
            <wp:extent cx="2537460" cy="125730"/>
            <wp:docPr id="27" name="Picture 27"/>
            <wp:cNvGraphicFramePr>
              <a:graphicFrameLocks noChangeAspect="1"/>
            </wp:cNvGraphicFramePr>
            <a:graphic>
              <a:graphicData uri="http://schemas.openxmlformats.org/drawingml/2006/picture">
                <pic:pic>
                  <pic:nvPicPr>
                    <pic:cNvPr id="0" name="equation_27.png"/>
                    <pic:cNvPicPr/>
                  </pic:nvPicPr>
                  <pic:blipFill>
                    <a:blip r:embed="rId36"/>
                    <a:stretch>
                      <a:fillRect/>
                    </a:stretch>
                  </pic:blipFill>
                  <pic:spPr>
                    <a:xfrm>
                      <a:off x="0" y="0"/>
                      <a:ext cx="2537460" cy="125730"/>
                    </a:xfrm>
                    <a:prstGeom prst="rect"/>
                  </pic:spPr>
                </pic:pic>
              </a:graphicData>
            </a:graphic>
          </wp:inline>
        </w:drawing>
      </w:r>
    </w:p>
    <w:p>
      <w:r>
        <w:t>The implementation uses:</w:t>
      </w:r>
    </w:p>
    <w:p>
      <w:pPr>
        <w:pStyle w:val="ListBullet"/>
      </w:pPr>
      <w:r>
        <w:t>carrier \(f_c=216\) Hz;</w:t>
      </w:r>
    </w:p>
    <w:p>
      <w:pPr>
        <w:pStyle w:val="ListBullet"/>
      </w:pPr>
      <w:r>
        <w:t>default duration 30 seconds;</w:t>
      </w:r>
    </w:p>
    <w:p>
      <w:pPr>
        <w:pStyle w:val="ListBullet"/>
      </w:pPr>
      <w:r>
        <w:t>sample rate 44,100 Hz;</w:t>
      </w:r>
    </w:p>
    <w:p>
      <w:pPr>
        <w:pStyle w:val="ListBullet"/>
      </w:pPr>
      <w:r>
        <w:t>amplitude 0.75;</w:t>
      </w:r>
    </w:p>
    <w:p>
      <w:pPr>
        <w:pStyle w:val="ListBullet"/>
      </w:pPr>
      <w:r>
        <w:t>default fade duration 2 seconds;</w:t>
      </w:r>
    </w:p>
    <w:p>
      <w:pPr>
        <w:pStyle w:val="ListBullet"/>
      </w:pPr>
      <w:r>
        <w:t>16-bit signed PCM conversion.</w:t>
      </w:r>
    </w:p>
    <w:p>
      <w:r>
        <w:t>The fade envelope uses a squared sine ramp:</w:t>
      </w:r>
    </w:p>
    <w:p>
      <w:pPr>
        <w:spacing w:before="100" w:after="100"/>
        <w:jc w:val="center"/>
      </w:pPr>
      <w:r>
        <w:drawing>
          <wp:inline xmlns:a="http://schemas.openxmlformats.org/drawingml/2006/main" xmlns:pic="http://schemas.openxmlformats.org/drawingml/2006/picture">
            <wp:extent cx="1051560" cy="175260"/>
            <wp:docPr id="28" name="Picture 28"/>
            <wp:cNvGraphicFramePr>
              <a:graphicFrameLocks noChangeAspect="1"/>
            </wp:cNvGraphicFramePr>
            <a:graphic>
              <a:graphicData uri="http://schemas.openxmlformats.org/drawingml/2006/picture">
                <pic:pic>
                  <pic:nvPicPr>
                    <pic:cNvPr id="0" name="equation_28.png"/>
                    <pic:cNvPicPr/>
                  </pic:nvPicPr>
                  <pic:blipFill>
                    <a:blip r:embed="rId37"/>
                    <a:stretch>
                      <a:fillRect/>
                    </a:stretch>
                  </pic:blipFill>
                  <pic:spPr>
                    <a:xfrm>
                      <a:off x="0" y="0"/>
                      <a:ext cx="1051560" cy="175260"/>
                    </a:xfrm>
                    <a:prstGeom prst="rect"/>
                  </pic:spPr>
                </pic:pic>
              </a:graphicData>
            </a:graphic>
          </wp:inline>
        </w:drawing>
      </w:r>
    </w:p>
    <w:p>
      <w:r>
        <w:t>for the onset and the reverse ramp at the offset. This reduces discontinuities and audible clicks.</w:t>
      </w:r>
    </w:p>
    <w:p>
      <w:r>
        <w:t xml:space="preserve">The output is an \(N\times2\) stereo </w:t>
      </w:r>
      <w:r>
        <w:rPr>
          <w:rFonts w:ascii="Consolas" w:hAnsi="Consolas" w:eastAsia="Consolas"/>
          <w:sz w:val="18"/>
        </w:rPr>
        <w:t>int16</w:t>
      </w:r>
      <w:r>
        <w:t xml:space="preserve"> array. The resulting WAV is ordinary audio data; it is not itself an EEG stimulation waveform and does not establish therapeutic efficacy.</w:t>
      </w:r>
    </w:p>
    <w:p>
      <w:pPr>
        <w:pStyle w:val="Heading2"/>
      </w:pPr>
      <w:r>
        <w:t>6.5 Cells 10–13: single-patient case study</w:t>
      </w:r>
    </w:p>
    <w:p>
      <w:r>
        <w:t>The exemplar is:</w:t>
      </w:r>
    </w:p>
    <w:p>
      <w:pPr>
        <w:pStyle w:val="NoSpacing"/>
        <w:spacing w:before="60" w:after="100"/>
        <w:ind w:left="360"/>
        <w:shd w:fill="F2F2F2"/>
      </w:pPr>
      <w:r>
        <w:rPr>
          <w:rFonts w:ascii="Consolas" w:hAnsi="Consolas" w:eastAsia="Consolas"/>
          <w:color w:val="282828"/>
          <w:sz w:val="17"/>
        </w:rPr>
        <w:t>sample_image = "spectrograms/spectrograms/Migraine/M10_Resting.png"</w:t>
        <w:br/>
        <w:t>patient_id = "M10"</w:t>
      </w:r>
    </w:p>
    <w:p>
      <w:r>
        <w:t>The notebook analyzes the image, sets the beat to the extracted IAF, synthesizes a 20-second WAV, and prints:</w:t>
      </w:r>
    </w:p>
    <w:p>
      <w:pPr>
        <w:pStyle w:val="ListBullet"/>
      </w:pPr>
      <w:r>
        <w:t>IAF;</w:t>
      </w:r>
    </w:p>
    <w:p>
      <w:pPr>
        <w:pStyle w:val="ListBullet"/>
      </w:pPr>
      <w:r>
        <w:t>alpha deficit;</w:t>
      </w:r>
    </w:p>
    <w:p>
      <w:pPr>
        <w:pStyle w:val="ListBullet"/>
      </w:pPr>
      <w:r>
        <w:t>TAR;</w:t>
      </w:r>
    </w:p>
    <w:p>
      <w:pPr>
        <w:pStyle w:val="ListBullet"/>
      </w:pPr>
      <w:r>
        <w:t>TBR;</w:t>
      </w:r>
    </w:p>
    <w:p>
      <w:pPr>
        <w:pStyle w:val="ListBullet"/>
      </w:pPr>
      <w:r>
        <w:t>normalized Delta, Theta, Alpha, Beta, and Gamma power.</w:t>
      </w:r>
    </w:p>
    <w:p>
      <w:r>
        <w:t>The four-panel visualization shows:</w:t>
      </w:r>
    </w:p>
    <w:p>
      <w:pPr>
        <w:pStyle w:val="ListNumber"/>
      </w:pPr>
      <w:r>
        <w:t>the original spectrogram;</w:t>
      </w:r>
    </w:p>
    <w:p>
      <w:pPr>
        <w:pStyle w:val="ListNumber"/>
      </w:pPr>
      <w:r>
        <w:t>reconstructed PSD and alpha-band peak;</w:t>
      </w:r>
    </w:p>
    <w:p>
      <w:pPr>
        <w:pStyle w:val="ListNumber"/>
      </w:pPr>
      <w:r>
        <w:t>normalized band-power bars;</w:t>
      </w:r>
    </w:p>
    <w:p>
      <w:pPr>
        <w:pStyle w:val="ListNumber"/>
      </w:pPr>
      <w:r>
        <w:t>the first 50 ms of the stereo waveforms.</w:t>
      </w:r>
    </w:p>
    <w:p>
      <w:r>
        <w:t>The notebook embeds an IPython audio player for listening.</w:t>
      </w:r>
    </w:p>
    <w:p>
      <w:pPr>
        <w:pStyle w:val="Heading2"/>
      </w:pPr>
      <w:r>
        <w:t>6.6 Cells 14–16: cohort analytics</w:t>
      </w:r>
    </w:p>
    <w:p>
      <w:r>
        <w:t>The notebook selects resting-state PNGs with:</w:t>
      </w:r>
    </w:p>
    <w:p>
      <w:pPr>
        <w:pStyle w:val="NoSpacing"/>
        <w:spacing w:before="60" w:after="100"/>
        <w:ind w:left="360"/>
        <w:shd w:fill="F2F2F2"/>
      </w:pPr>
      <w:r>
        <w:rPr>
          <w:rFonts w:ascii="Consolas" w:hAnsi="Consolas" w:eastAsia="Consolas"/>
          <w:color w:val="282828"/>
          <w:sz w:val="17"/>
        </w:rPr>
        <w:t>glob.glob("spectrograms/spectrograms/Migraine/*Resting*.png")</w:t>
        <w:br/>
        <w:t>glob.glob("spectrograms/spectrograms/Control/*Resting*.png")</w:t>
      </w:r>
    </w:p>
    <w:p>
      <w:r>
        <w:t>For every image it computes IAF, alpha percentage, and TAR. It then reports group means and standard deviations and plots three boxplots:</w:t>
      </w:r>
    </w:p>
    <w:p>
      <w:pPr>
        <w:pStyle w:val="ListBullet"/>
      </w:pPr>
      <w:r>
        <w:t>migraine versus control IAF;</w:t>
      </w:r>
    </w:p>
    <w:p>
      <w:pPr>
        <w:pStyle w:val="ListBullet"/>
      </w:pPr>
      <w:r>
        <w:t>migraine versus control alpha proportion;</w:t>
      </w:r>
    </w:p>
    <w:p>
      <w:pPr>
        <w:pStyle w:val="ListBullet"/>
      </w:pPr>
      <w:r>
        <w:t>migraine versus control TAR.</w:t>
      </w:r>
    </w:p>
    <w:p>
      <w:r>
        <w:t>These are descriptive cohort statistics. The notebook does not perform a hypothesis test, confidence interval, effect-size calculation, or correction for multiple comparisons.</w:t>
      </w:r>
    </w:p>
    <w:p>
      <w:pPr>
        <w:pStyle w:val="Heading2"/>
      </w:pPr>
      <w:r>
        <w:t>6.7 Cells 17–19: batch prescription export and conclusion</w:t>
      </w:r>
    </w:p>
    <w:p>
      <w:r>
        <w:t>For every migraine resting-state result, the notebook writes a 15-second WAV:</w:t>
      </w:r>
    </w:p>
    <w:p>
      <w:pPr>
        <w:pStyle w:val="NoSpacing"/>
        <w:spacing w:before="60" w:after="100"/>
        <w:ind w:left="360"/>
        <w:shd w:fill="F2F2F2"/>
      </w:pPr>
      <w:r>
        <w:rPr>
          <w:rFonts w:ascii="Consolas" w:hAnsi="Consolas" w:eastAsia="Consolas"/>
          <w:color w:val="282828"/>
          <w:sz w:val="17"/>
        </w:rPr>
        <w:t>&lt;subject&gt;_treatment_IAF_&lt;frequency&gt;Hz.wav</w:t>
      </w:r>
    </w:p>
    <w:p>
      <w:r>
        <w:t xml:space="preserve">It also records subject code, IAF, alpha percentage, TAR, and output path in </w:t>
      </w:r>
      <w:r>
        <w:rPr>
          <w:rFonts w:ascii="Consolas" w:hAnsi="Consolas" w:eastAsia="Consolas"/>
          <w:sz w:val="18"/>
        </w:rPr>
        <w:t>prescription_records</w:t>
      </w:r>
      <w:r>
        <w:t>.</w:t>
      </w:r>
    </w:p>
    <w:p>
      <w:r>
        <w:t>The final Markdown cell describes future closed-loop integration, mobile delivery, real-time EEG feedback, and hardware deployment. Those systems are not present in the current repository.</w:t>
      </w:r>
    </w:p>
    <w:p>
      <w:pPr>
        <w:spacing w:after="40"/>
      </w:pPr>
      <w:r/>
    </w:p>
    <w:p>
      <w:pPr>
        <w:pStyle w:val="Heading1"/>
      </w:pPr>
      <w:r>
        <w:t>7. Audio outputs in the repository</w:t>
      </w:r>
    </w:p>
    <w:p>
      <w:r>
        <w:t xml:space="preserve">The </w:t>
      </w:r>
      <w:r>
        <w:rPr>
          <w:rFonts w:ascii="Consolas" w:hAnsi="Consolas" w:eastAsia="Consolas"/>
          <w:sz w:val="18"/>
        </w:rPr>
        <w:t>audio_prescriptions</w:t>
      </w:r>
      <w:r>
        <w:t xml:space="preserve"> folder contains patient-specific WAV files such as:</w:t>
      </w:r>
    </w:p>
    <w:p>
      <w:pPr>
        <w:pStyle w:val="ListBullet"/>
      </w:pPr>
      <w:r>
        <w:rPr>
          <w:rFonts w:ascii="Consolas" w:hAnsi="Consolas" w:eastAsia="Consolas"/>
          <w:sz w:val="18"/>
        </w:rPr>
        <w:t>M1resting.png_treatment_IAF_8.00Hz.wav</w:t>
      </w:r>
    </w:p>
    <w:p>
      <w:pPr>
        <w:pStyle w:val="ListBullet"/>
      </w:pPr>
      <w:r>
        <w:rPr>
          <w:rFonts w:ascii="Consolas" w:hAnsi="Consolas" w:eastAsia="Consolas"/>
          <w:sz w:val="18"/>
        </w:rPr>
        <w:t>M3Resting.png_treatment_IAF_9.35Hz.wav</w:t>
      </w:r>
    </w:p>
    <w:p>
      <w:pPr>
        <w:pStyle w:val="ListBullet"/>
      </w:pPr>
      <w:r>
        <w:rPr>
          <w:rFonts w:ascii="Consolas" w:hAnsi="Consolas" w:eastAsia="Consolas"/>
          <w:sz w:val="18"/>
        </w:rPr>
        <w:t>M10_Prescription_IAF_10.09Hz.wav</w:t>
      </w:r>
    </w:p>
    <w:p>
      <w:pPr>
        <w:pStyle w:val="ListBullet"/>
      </w:pPr>
      <w:r>
        <w:rPr>
          <w:rFonts w:ascii="Consolas" w:hAnsi="Consolas" w:eastAsia="Consolas"/>
          <w:sz w:val="18"/>
        </w:rPr>
        <w:t>M10_treatment_IAF_10.09Hz.wav</w:t>
      </w:r>
    </w:p>
    <w:p>
      <w:pPr>
        <w:pStyle w:val="ListBullet"/>
      </w:pPr>
      <w:r>
        <w:rPr>
          <w:rFonts w:ascii="Consolas" w:hAnsi="Consolas" w:eastAsia="Consolas"/>
          <w:sz w:val="18"/>
        </w:rPr>
        <w:t>M17_treatment_IAF_10.21Hz.wav</w:t>
      </w:r>
    </w:p>
    <w:p>
      <w:r>
        <w:t>For a beat frequency of 10.09 Hz and carrier 216 Hz:</w:t>
      </w:r>
    </w:p>
    <w:p>
      <w:pPr>
        <w:spacing w:before="100" w:after="100"/>
        <w:jc w:val="center"/>
      </w:pPr>
      <w:r>
        <w:drawing>
          <wp:inline xmlns:a="http://schemas.openxmlformats.org/drawingml/2006/main" xmlns:pic="http://schemas.openxmlformats.org/drawingml/2006/picture">
            <wp:extent cx="1813560" cy="163830"/>
            <wp:docPr id="29" name="Picture 29"/>
            <wp:cNvGraphicFramePr>
              <a:graphicFrameLocks noChangeAspect="1"/>
            </wp:cNvGraphicFramePr>
            <a:graphic>
              <a:graphicData uri="http://schemas.openxmlformats.org/drawingml/2006/picture">
                <pic:pic>
                  <pic:nvPicPr>
                    <pic:cNvPr id="0" name="equation_29.png"/>
                    <pic:cNvPicPr/>
                  </pic:nvPicPr>
                  <pic:blipFill>
                    <a:blip r:embed="rId38"/>
                    <a:stretch>
                      <a:fillRect/>
                    </a:stretch>
                  </pic:blipFill>
                  <pic:spPr>
                    <a:xfrm>
                      <a:off x="0" y="0"/>
                      <a:ext cx="1813560" cy="163830"/>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1828800" cy="163830"/>
            <wp:docPr id="30" name="Picture 30"/>
            <wp:cNvGraphicFramePr>
              <a:graphicFrameLocks noChangeAspect="1"/>
            </wp:cNvGraphicFramePr>
            <a:graphic>
              <a:graphicData uri="http://schemas.openxmlformats.org/drawingml/2006/picture">
                <pic:pic>
                  <pic:nvPicPr>
                    <pic:cNvPr id="0" name="equation_30.png"/>
                    <pic:cNvPicPr/>
                  </pic:nvPicPr>
                  <pic:blipFill>
                    <a:blip r:embed="rId39"/>
                    <a:stretch>
                      <a:fillRect/>
                    </a:stretch>
                  </pic:blipFill>
                  <pic:spPr>
                    <a:xfrm>
                      <a:off x="0" y="0"/>
                      <a:ext cx="1828800" cy="163830"/>
                    </a:xfrm>
                    <a:prstGeom prst="rect"/>
                  </pic:spPr>
                </pic:pic>
              </a:graphicData>
            </a:graphic>
          </wp:inline>
        </w:drawing>
      </w:r>
    </w:p>
    <w:p>
      <w:r>
        <w:t>The repository's filenames are evidence of generated prescriptions, not evidence that the audio was clinically administered or evaluated.</w:t>
      </w:r>
    </w:p>
    <w:p>
      <w:pPr>
        <w:spacing w:after="40"/>
      </w:pPr>
      <w:r/>
    </w:p>
    <w:p>
      <w:pPr>
        <w:pStyle w:val="Heading1"/>
      </w:pPr>
      <w:r>
        <w:t>8. Existing documents and literature resources</w:t>
      </w:r>
    </w:p>
    <w:p>
      <w:r>
        <w:t>The repository already includes several explanatory documents:</w:t>
      </w:r>
    </w:p>
    <w:p>
      <w:pPr>
        <w:pStyle w:val="ListBullet"/>
      </w:pPr>
      <w:r>
        <w:rPr>
          <w:rFonts w:ascii="Consolas" w:hAnsi="Consolas" w:eastAsia="Consolas"/>
          <w:sz w:val="18"/>
        </w:rPr>
        <w:t>EEG_CMU_Explanation.docx</w:t>
      </w:r>
      <w:r>
        <w:t>: cell-by-cell explanation of the raw EEG and preprocessing notebook.</w:t>
      </w:r>
    </w:p>
    <w:p>
      <w:pPr>
        <w:pStyle w:val="ListBullet"/>
      </w:pPr>
      <w:r>
        <w:rPr>
          <w:rFonts w:ascii="Consolas" w:hAnsi="Consolas" w:eastAsia="Consolas"/>
          <w:sz w:val="18"/>
        </w:rPr>
        <w:t>EEG_Spectrogram_Literature_Review.docx</w:t>
      </w:r>
      <w:r>
        <w:t>: literature review for EEG spectrogram analysis.</w:t>
      </w:r>
    </w:p>
    <w:p>
      <w:pPr>
        <w:pStyle w:val="ListBullet"/>
      </w:pPr>
      <w:r>
        <w:rPr>
          <w:rFonts w:ascii="Consolas" w:hAnsi="Consolas" w:eastAsia="Consolas"/>
          <w:sz w:val="18"/>
        </w:rPr>
        <w:t>Migraine_Detection_Project_Summary.docx</w:t>
      </w:r>
      <w:r>
        <w:t>: plain-language project and execution summary.</w:t>
      </w:r>
    </w:p>
    <w:p>
      <w:pPr>
        <w:pStyle w:val="ListBullet"/>
      </w:pPr>
      <w:r>
        <w:rPr>
          <w:rFonts w:ascii="Consolas" w:hAnsi="Consolas" w:eastAsia="Consolas"/>
          <w:sz w:val="18"/>
        </w:rPr>
        <w:t>Spectrogram_Binaural_Treatment_Notebook_Explanation.docx</w:t>
      </w:r>
      <w:r>
        <w:t>: treatment notebook explanation.</w:t>
      </w:r>
    </w:p>
    <w:p>
      <w:pPr>
        <w:pStyle w:val="ListBullet"/>
      </w:pPr>
      <w:r>
        <w:rPr>
          <w:rFonts w:ascii="Consolas" w:hAnsi="Consolas" w:eastAsia="Consolas"/>
          <w:sz w:val="18"/>
        </w:rPr>
        <w:t>Spectrogram_To_Binaural_Treatment_Documentation.docx</w:t>
      </w:r>
      <w:r>
        <w:t>: mathematical treatment documentation.</w:t>
      </w:r>
    </w:p>
    <w:p>
      <w:pPr>
        <w:pStyle w:val="ListBullet"/>
      </w:pPr>
      <w:r>
        <w:rPr>
          <w:rFonts w:ascii="Consolas" w:hAnsi="Consolas" w:eastAsia="Consolas"/>
          <w:sz w:val="18"/>
        </w:rPr>
        <w:t>EEG_Spectrogram_References.bib</w:t>
      </w:r>
      <w:r>
        <w:t>: bibliography containing migraine EEG, spectrogram, transfer-learning, and neuroscience references.</w:t>
      </w:r>
    </w:p>
    <w:p>
      <w:pPr>
        <w:pStyle w:val="ListBullet"/>
      </w:pPr>
      <w:r>
        <w:rPr>
          <w:rFonts w:ascii="Consolas" w:hAnsi="Consolas" w:eastAsia="Consolas"/>
          <w:sz w:val="18"/>
        </w:rPr>
        <w:t>DatasetPaper.pdf</w:t>
      </w:r>
      <w:r>
        <w:t>: dataset-related source material.</w:t>
      </w:r>
    </w:p>
    <w:p>
      <w:r>
        <w:t>This Markdown file consolidates the technical content of those documents with the actual notebook cell order and saved notebook outputs. Literature claims should still be checked against the original papers before being used in a clinical or academic publication.</w:t>
      </w:r>
    </w:p>
    <w:p>
      <w:pPr>
        <w:spacing w:after="40"/>
      </w:pPr>
      <w:r/>
    </w:p>
    <w:p>
      <w:pPr>
        <w:pStyle w:val="Heading1"/>
      </w:pPr>
      <w:r>
        <w:t>9. Reproducibility and correctness review</w:t>
      </w:r>
    </w:p>
    <w:p>
      <w:pPr>
        <w:pStyle w:val="Heading2"/>
      </w:pPr>
      <w:r>
        <w:t>9.1 Highest-priority fixes before a scientific benchmark</w:t>
      </w:r>
    </w:p>
    <w:p>
      <w:pPr>
        <w:pStyle w:val="ListNumber"/>
      </w:pPr>
      <w:r>
        <w:rPr>
          <w:b/>
          <w:i w:val="0"/>
        </w:rPr>
        <w:t>Create a true subject-level split.</w:t>
      </w:r>
      <w:r>
        <w:t xml:space="preserve"> Put every recording from one participant in exactly one of train, validation, or test.</w:t>
      </w:r>
    </w:p>
    <w:p>
      <w:pPr>
        <w:pStyle w:val="ListNumber"/>
      </w:pPr>
      <w:r>
        <w:rPr>
          <w:b/>
          <w:i w:val="0"/>
        </w:rPr>
        <w:t>Use a separate validation set.</w:t>
      </w:r>
      <w:r>
        <w:t xml:space="preserve"> Do not tune checkpoints on the final test data.</w:t>
      </w:r>
    </w:p>
    <w:p>
      <w:pPr>
        <w:pStyle w:val="ListNumber"/>
      </w:pPr>
      <w:r>
        <w:rPr>
          <w:b/>
          <w:i w:val="0"/>
        </w:rPr>
        <w:t>Use stratification or class weighting.</w:t>
      </w:r>
      <w:r>
        <w:t xml:space="preserve"> The current data has 67 control versus 39 migraine samples.</w:t>
      </w:r>
    </w:p>
    <w:p>
      <w:pPr>
        <w:pStyle w:val="ListNumber"/>
      </w:pPr>
      <w:r>
        <w:rPr>
          <w:b/>
          <w:i w:val="0"/>
        </w:rPr>
        <w:t>Make preprocessing part of the model.</w:t>
      </w:r>
      <w:r>
        <w:t xml:space="preserve"> Connect the rescaling layer explicitly, and use the correct Keras preprocessing for each backbone.</w:t>
      </w:r>
    </w:p>
    <w:p>
      <w:pPr>
        <w:pStyle w:val="ListNumber"/>
      </w:pPr>
      <w:r>
        <w:rPr>
          <w:b/>
          <w:i w:val="0"/>
        </w:rPr>
        <w:t>Set checkpoint semantics explicitly.</w:t>
      </w:r>
      <w:r>
        <w:t xml:space="preserve"> Use </w:t>
      </w:r>
      <w:r>
        <w:rPr>
          <w:rFonts w:ascii="Consolas" w:hAnsi="Consolas" w:eastAsia="Consolas"/>
          <w:sz w:val="18"/>
        </w:rPr>
        <w:t>save_best_only=True</w:t>
      </w:r>
      <w:r>
        <w:t xml:space="preserve"> and a clearly named monitor such as </w:t>
      </w:r>
      <w:r>
        <w:rPr>
          <w:rFonts w:ascii="Consolas" w:hAnsi="Consolas" w:eastAsia="Consolas"/>
          <w:sz w:val="18"/>
        </w:rPr>
        <w:t>val_loss</w:t>
      </w:r>
      <w:r>
        <w:t xml:space="preserve"> or </w:t>
      </w:r>
      <w:r>
        <w:rPr>
          <w:rFonts w:ascii="Consolas" w:hAnsi="Consolas" w:eastAsia="Consolas"/>
          <w:sz w:val="18"/>
        </w:rPr>
        <w:t>val_accuracy</w:t>
      </w:r>
      <w:r>
        <w:t>.</w:t>
      </w:r>
    </w:p>
    <w:p>
      <w:pPr>
        <w:pStyle w:val="ListNumber"/>
      </w:pPr>
      <w:r>
        <w:rPr>
          <w:b/>
          <w:i w:val="0"/>
        </w:rPr>
        <w:t>Repeat experiments.</w:t>
      </w:r>
      <w:r>
        <w:t xml:space="preserve"> Report mean and standard deviation over several subject-level seeds or folds.</w:t>
      </w:r>
    </w:p>
    <w:p>
      <w:pPr>
        <w:pStyle w:val="ListNumber"/>
      </w:pPr>
      <w:r>
        <w:rPr>
          <w:b/>
          <w:i w:val="0"/>
        </w:rPr>
        <w:t>Preserve metadata.</w:t>
      </w:r>
      <w:r>
        <w:t xml:space="preserve"> Store subject ID, task, channel, preprocessing version, and source recording beside every generated image.</w:t>
      </w:r>
    </w:p>
    <w:p>
      <w:pPr>
        <w:pStyle w:val="ListNumber"/>
      </w:pPr>
      <w:r>
        <w:rPr>
          <w:b/>
          <w:i w:val="0"/>
        </w:rPr>
        <w:t>Validate the image inversion contract.</w:t>
      </w:r>
      <w:r>
        <w:t xml:space="preserve"> Save the colormap, dB limits, frequency orientation, and axis crop as machine-readable metadata.</w:t>
      </w:r>
    </w:p>
    <w:p>
      <w:pPr>
        <w:pStyle w:val="ListNumber"/>
      </w:pPr>
      <w:r>
        <w:rPr>
          <w:b/>
          <w:i w:val="0"/>
        </w:rPr>
        <w:t>Avoid unqualified clinical language.</w:t>
      </w:r>
      <w:r>
        <w:t xml:space="preserve"> Use “prototype,” “candidate biomarker,” and “generated acoustic stimulus” unless clinical validation exists.</w:t>
      </w:r>
    </w:p>
    <w:p>
      <w:pPr>
        <w:pStyle w:val="ListNumber"/>
      </w:pPr>
      <w:r>
        <w:rPr>
          <w:b/>
          <w:i w:val="0"/>
        </w:rPr>
        <w:t>Add automated tests.</w:t>
      </w:r>
      <w:r>
        <w:t xml:space="preserve"> Test frequency mapping, band masks, IAF selection, stereo frequency difference, fade behavior, and WAV sample format.</w:t>
      </w:r>
    </w:p>
    <w:p>
      <w:pPr>
        <w:pStyle w:val="Heading2"/>
      </w:pPr>
      <w:r>
        <w:t>9.2 CNN-specific technical concerns</w:t>
      </w:r>
    </w:p>
    <w:p>
      <w:pPr>
        <w:pStyle w:val="ListBullet"/>
      </w:pPr>
      <w:r>
        <w:rPr>
          <w:rFonts w:ascii="Consolas" w:hAnsi="Consolas" w:eastAsia="Consolas"/>
          <w:sz w:val="18"/>
        </w:rPr>
        <w:t>resize_and_rescale</w:t>
      </w:r>
      <w:r>
        <w:t xml:space="preserve"> is defined but unused.</w:t>
      </w:r>
    </w:p>
    <w:p>
      <w:pPr>
        <w:pStyle w:val="ListBullet"/>
      </w:pPr>
      <w:r>
        <w:t>VGG16, ResNet50, and EfficientNetB7 have different preprocessing conventions. A common raw RGB pipeline is not automatically correct for all three.</w:t>
      </w:r>
    </w:p>
    <w:p>
      <w:pPr>
        <w:pStyle w:val="ListBullet"/>
      </w:pPr>
      <w:r>
        <w:rPr>
          <w:rFonts w:ascii="Consolas" w:hAnsi="Consolas" w:eastAsia="Consolas"/>
          <w:sz w:val="18"/>
        </w:rPr>
        <w:t>image_dataset_from_directory</w:t>
      </w:r>
      <w:r>
        <w:t xml:space="preserve"> loads a shuffled dataset and then splits by batch position.</w:t>
      </w:r>
    </w:p>
    <w:p>
      <w:pPr>
        <w:pStyle w:val="ListBullet"/>
      </w:pPr>
      <w:r>
        <w:t>The effective split is batch-based rather than sample-count-based.</w:t>
      </w:r>
    </w:p>
    <w:p>
      <w:pPr>
        <w:pStyle w:val="ListBullet"/>
      </w:pPr>
      <w:r>
        <w:t>The validation set is used throughout training and then reported as the final test set.</w:t>
      </w:r>
    </w:p>
    <w:p>
      <w:pPr>
        <w:pStyle w:val="ListBullet"/>
      </w:pPr>
      <w:r>
        <w:t>The saved metrics do not include class-specific sensitivity, specificity, or confidence intervals.</w:t>
      </w:r>
    </w:p>
    <w:p>
      <w:pPr>
        <w:pStyle w:val="ListBullet"/>
      </w:pPr>
      <w:r>
        <w:t xml:space="preserve">The imported </w:t>
      </w:r>
      <w:r>
        <w:rPr>
          <w:rFonts w:ascii="Consolas" w:hAnsi="Consolas" w:eastAsia="Consolas"/>
          <w:sz w:val="18"/>
        </w:rPr>
        <w:t>roc_auc_score</w:t>
      </w:r>
      <w:r>
        <w:t xml:space="preserve"> is not used to print a numeric AUC; only the plotted AUC values are generated.</w:t>
      </w:r>
    </w:p>
    <w:p>
      <w:pPr>
        <w:pStyle w:val="ListBullet"/>
      </w:pPr>
      <w:r>
        <w:t>The inference loop can display repeated or non-independent examples because it iterates over a shuffled dataset.</w:t>
      </w:r>
    </w:p>
    <w:p>
      <w:pPr>
        <w:pStyle w:val="Heading2"/>
      </w:pPr>
      <w:r>
        <w:t>9.3 Signal-processing-specific concerns</w:t>
      </w:r>
    </w:p>
    <w:p>
      <w:pPr>
        <w:pStyle w:val="ListBullet"/>
      </w:pPr>
      <w:r>
        <w:t>A 256-sample STFT at 512 Hz gives 2 Hz frequency-bin spacing, while the treatment image inversion resizes the vertical axis to 400 rows and visually interpolates frequencies. The apparent sub-bin IAF precision should not be overstated.</w:t>
      </w:r>
    </w:p>
    <w:p>
      <w:pPr>
        <w:pStyle w:val="ListBullet"/>
      </w:pPr>
      <w:r>
        <w:t xml:space="preserve">PNG rendering with </w:t>
      </w:r>
      <w:r>
        <w:rPr>
          <w:rFonts w:ascii="Consolas" w:hAnsi="Consolas" w:eastAsia="Consolas"/>
          <w:sz w:val="18"/>
        </w:rPr>
        <w:t>pcolormesh</w:t>
      </w:r>
      <w:r>
        <w:t>, interpolation, cropping, and resizing changes the exact values. Colormap inversion is therefore approximate.</w:t>
      </w:r>
    </w:p>
    <w:p>
      <w:pPr>
        <w:pStyle w:val="ListBullet"/>
      </w:pPr>
      <w:r>
        <w:t>Nearest-color lookup in sRGB is not a physically exact inverse of a rendered image after anti-aliasing or interpolation.</w:t>
      </w:r>
    </w:p>
    <w:p>
      <w:pPr>
        <w:pStyle w:val="ListBullet"/>
      </w:pPr>
      <w:r>
        <w:t>The image lacks an independent calibration channel for the colorbar. The code assumes \([-10,30]\) dB.</w:t>
      </w:r>
    </w:p>
    <w:p>
      <w:pPr>
        <w:pStyle w:val="ListBullet"/>
      </w:pPr>
      <w:r>
        <w:t>Selecting channel 80 may be appropriate for the intended occipital analysis, but the channel mapping should be verified against the dataset montage.</w:t>
      </w:r>
    </w:p>
    <w:p>
      <w:pPr>
        <w:pStyle w:val="ListBullet"/>
      </w:pPr>
      <w:r>
        <w:t>The treatment notebook uses resting-state files, while the CNN dataset includes resting, auditory-evoked, and visual-evoked task images.</w:t>
      </w:r>
    </w:p>
    <w:p>
      <w:pPr>
        <w:pStyle w:val="Heading2"/>
      </w:pPr>
      <w:r>
        <w:t>9.4 Audio-specific concerns</w:t>
      </w:r>
    </w:p>
    <w:p>
      <w:pPr>
        <w:pStyle w:val="ListBullet"/>
      </w:pPr>
      <w:r>
        <w:t>Binaural beats require separate left/right delivery, normally through headphones; speakers can mix the channels acoustically.</w:t>
      </w:r>
    </w:p>
    <w:p>
      <w:pPr>
        <w:pStyle w:val="ListBullet"/>
      </w:pPr>
      <w:r>
        <w:t>The audio synthesis code has no volume calibration in dB SPL, hearing-safety limit, or user-specific contraindication handling.</w:t>
      </w:r>
    </w:p>
    <w:p>
      <w:pPr>
        <w:pStyle w:val="ListBullet"/>
      </w:pPr>
      <w:r>
        <w:t>A generated beat frequency is not a validated dose.</w:t>
      </w:r>
    </w:p>
    <w:p>
      <w:pPr>
        <w:pStyle w:val="ListBullet"/>
      </w:pPr>
      <w:r>
        <w:t>The 216 Hz carrier and IAF target are project parameters, not guarantees of therapeutic response.</w:t>
      </w:r>
    </w:p>
    <w:p>
      <w:pPr>
        <w:pStyle w:val="ListBullet"/>
      </w:pPr>
      <w:r>
        <w:t>The pipeline should be reviewed by qualified clinical, ethics, and audio-safety personnel before human use.</w:t>
      </w:r>
    </w:p>
    <w:p>
      <w:pPr>
        <w:spacing w:after="40"/>
      </w:pPr>
      <w:r/>
    </w:p>
    <w:p>
      <w:pPr>
        <w:pStyle w:val="Heading1"/>
      </w:pPr>
      <w:r>
        <w:t>10. Recommended production-grade pipeline</w:t>
      </w:r>
    </w:p>
    <w:p>
      <w:r>
        <w:t>For a stronger next version:</w:t>
      </w:r>
    </w:p>
    <w:p>
      <w:pPr>
        <w:pStyle w:val="ListNumber"/>
      </w:pPr>
      <w:r>
        <w:t>Build a metadata table with subject ID, diagnostic group, task, file path, channel montage, and recording quality.</w:t>
      </w:r>
    </w:p>
    <w:p>
      <w:pPr>
        <w:pStyle w:val="ListNumber"/>
      </w:pPr>
      <w:r>
        <w:t>Preprocess once and save arrays plus a versioned metadata manifest.</w:t>
      </w:r>
    </w:p>
    <w:p>
      <w:pPr>
        <w:pStyle w:val="ListNumber"/>
      </w:pPr>
      <w:r>
        <w:t>Split by subject before rendering images.</w:t>
      </w:r>
    </w:p>
    <w:p>
      <w:pPr>
        <w:pStyle w:val="ListNumber"/>
      </w:pPr>
      <w:r>
        <w:t>Keep a held-out test cohort untouched until the end.</w:t>
      </w:r>
    </w:p>
    <w:p>
      <w:pPr>
        <w:pStyle w:val="ListNumber"/>
      </w:pPr>
      <w:r>
        <w:t>Train with a train/validation/test split and explicit early stopping.</w:t>
      </w:r>
    </w:p>
    <w:p>
      <w:pPr>
        <w:pStyle w:val="ListNumber"/>
      </w:pPr>
      <w:r>
        <w:t>Compare single-channel, multichannel, and channel-aggregation strategies.</w:t>
      </w:r>
    </w:p>
    <w:p>
      <w:pPr>
        <w:pStyle w:val="ListNumber"/>
      </w:pPr>
      <w:r>
        <w:t>Compare raw spectrogram tensors against rendered PNGs.</w:t>
      </w:r>
    </w:p>
    <w:p>
      <w:pPr>
        <w:pStyle w:val="ListNumber"/>
      </w:pPr>
      <w:r>
        <w:t>Report balanced accuracy, sensitivity, specificity, PR-AUC, ROC-AUC, MCC, calibration, and confidence intervals.</w:t>
      </w:r>
    </w:p>
    <w:p>
      <w:pPr>
        <w:pStyle w:val="ListNumber"/>
      </w:pPr>
      <w:r>
        <w:t>Use explainability methods such as Grad-CAM to inspect whether models use physiologically meaningful regions.</w:t>
      </w:r>
    </w:p>
    <w:p>
      <w:pPr>
        <w:pStyle w:val="ListNumber"/>
      </w:pPr>
      <w:r>
        <w:t>Estimate IAF directly from numerical EEG/STFT data when available, using image inversion only as a deployment compatibility mode.</w:t>
      </w:r>
    </w:p>
    <w:p>
      <w:pPr>
        <w:pStyle w:val="ListNumber"/>
      </w:pPr>
      <w:r>
        <w:t>Validate audio frequency output with an independent spectral measurement.</w:t>
      </w:r>
    </w:p>
    <w:p>
      <w:pPr>
        <w:pStyle w:val="ListNumber"/>
      </w:pPr>
      <w:r>
        <w:t>Conduct safety, usability, and controlled clinical studies before therapeutic claims.</w:t>
      </w:r>
    </w:p>
    <w:p>
      <w:pPr>
        <w:spacing w:after="40"/>
      </w:pPr>
      <w:r/>
    </w:p>
    <w:p>
      <w:pPr>
        <w:pStyle w:val="Heading1"/>
      </w:pPr>
      <w:r>
        <w:t>11. Final interpretation</w:t>
      </w:r>
    </w:p>
    <w:p>
      <w:r>
        <w:t>The repository demonstrates a coherent research prototype joining three technical areas:</w:t>
      </w:r>
    </w:p>
    <w:p>
      <w:pPr>
        <w:pStyle w:val="ListNumber"/>
      </w:pPr>
      <w:r>
        <w:rPr>
          <w:b/>
          <w:i w:val="0"/>
        </w:rPr>
        <w:t>EEG signal processing:</w:t>
      </w:r>
      <w:r>
        <w:t xml:space="preserve"> BDF loading, referencing, filtering, STFT, logarithmic power, and spectrogram rendering.</w:t>
      </w:r>
    </w:p>
    <w:p>
      <w:pPr>
        <w:pStyle w:val="ListNumber"/>
      </w:pPr>
      <w:r>
        <w:rPr>
          <w:b/>
          <w:i w:val="0"/>
        </w:rPr>
        <w:t>Deep learning for biomedical images:</w:t>
      </w:r>
      <w:r>
        <w:t xml:space="preserve"> transfer learning with three ImageNet CNN backbones to classify control versus migraine spectrograms.</w:t>
      </w:r>
    </w:p>
    <w:p>
      <w:pPr>
        <w:pStyle w:val="ListNumber"/>
      </w:pPr>
      <w:r>
        <w:rPr>
          <w:b/>
          <w:i w:val="0"/>
        </w:rPr>
        <w:t>Personalized acoustic signal generation:</w:t>
      </w:r>
      <w:r>
        <w:t xml:space="preserve"> approximate inverse rendering of spectrograms, extraction of alpha-related biomarkers, and stereo binaural-beat synthesis.</w:t>
      </w:r>
    </w:p>
    <w:p>
      <w:r>
        <w:t>The strongest saved classification result is EfficientNetB7 in the recorded experiment, with 0.9375 accuracy and 0.87497 MCC. That result is promising as an engineering experiment but is not sufficient evidence of generalization or clinical readiness. The most valuable next step is not simply increasing the number of epochs; it is improving subject-independent evaluation, preprocessing consistency, metadata traceability, and prospective clinical validation.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Full Project Technical Documentation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Personalized Migraine Mitigation via EEG Spectrograms and Binaural Beats</dc:title>
  <dc:subject>Complete project technical documentation with rendered mathematical equations</dc:subject>
  <dc:creator>FYDP-III Project</dc:creator>
  <cp:keywords>EEG, migraine, spectrogram, VGG16, ResNet50, EfficientNetB7, binaural beats, equations</cp:keywords>
  <dc:description>generated by python-docx</dc:description>
  <cp:lastModifiedBy/>
  <cp:revision>1</cp:revision>
  <dcterms:created xsi:type="dcterms:W3CDTF">2013-12-23T23:15:00Z</dcterms:created>
  <dcterms:modified xsi:type="dcterms:W3CDTF">2013-12-23T23:15:00Z</dcterms:modified>
  <cp:category/>
</cp:coreProperties>
</file>