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1B365D"/>
          <w:sz w:val="44"/>
        </w:rPr>
        <w:t>Notebook Cell-by-Cell Architecture &amp; Mathematical Specification</w:t>
      </w:r>
    </w:p>
    <w:p>
      <w:pPr>
        <w:spacing w:before="0" w:after="280"/>
      </w:pPr>
      <w:r>
        <w:rPr>
          <w:rFonts w:ascii="Arial" w:hAnsi="Arial"/>
          <w:color w:val="4A777A"/>
          <w:sz w:val="26"/>
        </w:rPr>
        <w:t>Exhaustive Technical and Electrophysiological Breakdown of spectrogram_binaural_treatment.ipynb</w:t>
      </w:r>
    </w:p>
    <w:tbl>
      <w:tblPr>
        <w:tblW w:type="auto" w:w="0"/>
        <w:jc w:val="center"/>
        <w:tblLook w:firstColumn="1" w:firstRow="1" w:lastColumn="0" w:lastRow="0" w:noHBand="0" w:noVBand="1" w:val="04A0"/>
      </w:tblPr>
      <w:tblGrid>
        <w:gridCol w:w="4680"/>
        <w:gridCol w:w="4680"/>
      </w:tblGrid>
      <w:tr>
        <w:tc>
          <w:tcPr>
            <w:tcW w:type="dxa" w:w="3600"/>
            <w:shd w:fill="1B365D"/>
            <w:tcMar>
              <w:top w:w="80" w:type="dxa"/>
              <w:bottom w:w="80" w:type="dxa"/>
              <w:left w:w="120" w:type="dxa"/>
              <w:right w:w="120" w:type="dxa"/>
            </w:tcMar>
          </w:tcPr>
          <w:p>
            <w:pPr>
              <w:jc w:val="center"/>
            </w:pPr>
            <w:r>
              <w:rPr>
                <w:rFonts w:ascii="Arial" w:hAnsi="Arial"/>
                <w:b/>
                <w:color w:val="FFFFFF"/>
                <w:sz w:val="18"/>
              </w:rPr>
              <w:t>Project Specification Parameter</w:t>
            </w:r>
          </w:p>
        </w:tc>
        <w:tc>
          <w:tcPr>
            <w:tcW w:type="dxa" w:w="5760"/>
            <w:shd w:fill="1B365D"/>
            <w:tcMar>
              <w:top w:w="80" w:type="dxa"/>
              <w:bottom w:w="80" w:type="dxa"/>
              <w:left w:w="120" w:type="dxa"/>
              <w:right w:w="120" w:type="dxa"/>
            </w:tcMar>
          </w:tcPr>
          <w:p>
            <w:pPr>
              <w:jc w:val="center"/>
            </w:pPr>
            <w:r>
              <w:rPr>
                <w:rFonts w:ascii="Arial" w:hAnsi="Arial"/>
                <w:b/>
                <w:color w:val="FFFFFF"/>
                <w:sz w:val="18"/>
              </w:rPr>
              <w:t>System Engineering Value</w:t>
            </w:r>
          </w:p>
        </w:tc>
      </w:tr>
      <w:tr>
        <w:tc>
          <w:tcPr>
            <w:tcW w:type="dxa" w:w="3600"/>
            <w:shd w:fill="FFFFFF"/>
            <w:tcMar>
              <w:top w:w="60" w:type="dxa"/>
              <w:bottom w:w="60" w:type="dxa"/>
              <w:left w:w="120" w:type="dxa"/>
              <w:right w:w="120" w:type="dxa"/>
            </w:tcMar>
          </w:tcPr>
          <w:p>
            <w:pPr>
              <w:spacing w:line="276" w:lineRule="auto" w:before="40" w:after="40"/>
            </w:pPr>
            <w:r>
              <w:rPr>
                <w:rFonts w:ascii="Calibri" w:hAnsi="Calibri"/>
                <w:color w:val="222222"/>
                <w:sz w:val="18"/>
              </w:rPr>
              <w:t>Project Title</w:t>
            </w:r>
          </w:p>
        </w:tc>
        <w:tc>
          <w:tcPr>
            <w:tcW w:type="dxa" w:w="5760"/>
            <w:shd w:fill="FFFFFF"/>
            <w:tcMar>
              <w:top w:w="60" w:type="dxa"/>
              <w:bottom w:w="60" w:type="dxa"/>
              <w:left w:w="120" w:type="dxa"/>
              <w:right w:w="120" w:type="dxa"/>
            </w:tcMar>
          </w:tcPr>
          <w:p>
            <w:pPr>
              <w:spacing w:line="276" w:lineRule="auto" w:before="40" w:after="40"/>
            </w:pPr>
            <w:r>
              <w:rPr>
                <w:rFonts w:ascii="Calibri" w:hAnsi="Calibri"/>
                <w:color w:val="222222"/>
                <w:sz w:val="18"/>
              </w:rPr>
              <w:t>Personalized Migraine Mitigation via Binaural Beats (FYDP-III)</w:t>
            </w:r>
          </w:p>
        </w:tc>
      </w:tr>
      <w:tr>
        <w:tc>
          <w:tcPr>
            <w:tcW w:type="dxa" w:w="3600"/>
            <w:shd w:fill="F4F6F9"/>
            <w:tcMar>
              <w:top w:w="60" w:type="dxa"/>
              <w:bottom w:w="60" w:type="dxa"/>
              <w:left w:w="120" w:type="dxa"/>
              <w:right w:w="120" w:type="dxa"/>
            </w:tcMar>
          </w:tcPr>
          <w:p>
            <w:pPr>
              <w:spacing w:line="276" w:lineRule="auto" w:before="40" w:after="40"/>
            </w:pPr>
            <w:r>
              <w:rPr>
                <w:rFonts w:ascii="Calibri" w:hAnsi="Calibri"/>
                <w:color w:val="222222"/>
                <w:sz w:val="18"/>
              </w:rPr>
              <w:t>Target Artifact</w:t>
            </w:r>
          </w:p>
        </w:tc>
        <w:tc>
          <w:tcPr>
            <w:tcW w:type="dxa" w:w="5760"/>
            <w:shd w:fill="F4F6F9"/>
            <w:tcMar>
              <w:top w:w="60" w:type="dxa"/>
              <w:bottom w:w="60" w:type="dxa"/>
              <w:left w:w="120" w:type="dxa"/>
              <w:right w:w="120" w:type="dxa"/>
            </w:tcMar>
          </w:tcPr>
          <w:p>
            <w:pPr>
              <w:spacing w:line="276" w:lineRule="auto" w:before="40" w:after="40"/>
            </w:pPr>
            <w:r>
              <w:rPr>
                <w:rFonts w:ascii="Calibri" w:hAnsi="Calibri"/>
                <w:color w:val="222222"/>
                <w:sz w:val="18"/>
              </w:rPr>
              <w:t>spectrogram_binaural_treatment.ipynb (19 Interactive Cells)</w:t>
            </w:r>
          </w:p>
        </w:tc>
      </w:tr>
      <w:tr>
        <w:tc>
          <w:tcPr>
            <w:tcW w:type="dxa" w:w="3600"/>
            <w:shd w:fill="FFFFFF"/>
            <w:tcMar>
              <w:top w:w="60" w:type="dxa"/>
              <w:bottom w:w="60" w:type="dxa"/>
              <w:left w:w="120" w:type="dxa"/>
              <w:right w:w="120" w:type="dxa"/>
            </w:tcMar>
          </w:tcPr>
          <w:p>
            <w:pPr>
              <w:spacing w:line="276" w:lineRule="auto" w:before="40" w:after="40"/>
            </w:pPr>
            <w:r>
              <w:rPr>
                <w:rFonts w:ascii="Calibri" w:hAnsi="Calibri"/>
                <w:color w:val="222222"/>
                <w:sz w:val="18"/>
              </w:rPr>
              <w:t>Document Purpose</w:t>
            </w:r>
          </w:p>
        </w:tc>
        <w:tc>
          <w:tcPr>
            <w:tcW w:type="dxa" w:w="5760"/>
            <w:shd w:fill="FFFFFF"/>
            <w:tcMar>
              <w:top w:w="60" w:type="dxa"/>
              <w:bottom w:w="60" w:type="dxa"/>
              <w:left w:w="120" w:type="dxa"/>
              <w:right w:w="120" w:type="dxa"/>
            </w:tcMar>
          </w:tcPr>
          <w:p>
            <w:pPr>
              <w:spacing w:line="276" w:lineRule="auto" w:before="40" w:after="40"/>
            </w:pPr>
            <w:r>
              <w:rPr>
                <w:rFonts w:ascii="Calibri" w:hAnsi="Calibri"/>
                <w:color w:val="222222"/>
                <w:sz w:val="18"/>
              </w:rPr>
              <w:t>Cell-by-cell pedagogical walkthrough, code logic analysis, and plaintext formula mapping</w:t>
            </w:r>
          </w:p>
        </w:tc>
      </w:tr>
      <w:tr>
        <w:tc>
          <w:tcPr>
            <w:tcW w:type="dxa" w:w="3600"/>
            <w:shd w:fill="F4F6F9"/>
            <w:tcMar>
              <w:top w:w="60" w:type="dxa"/>
              <w:bottom w:w="60" w:type="dxa"/>
              <w:left w:w="120" w:type="dxa"/>
              <w:right w:w="120" w:type="dxa"/>
            </w:tcMar>
          </w:tcPr>
          <w:p>
            <w:pPr>
              <w:spacing w:line="276" w:lineRule="auto" w:before="40" w:after="40"/>
            </w:pPr>
            <w:r>
              <w:rPr>
                <w:rFonts w:ascii="Calibri" w:hAnsi="Calibri"/>
                <w:color w:val="222222"/>
                <w:sz w:val="18"/>
              </w:rPr>
              <w:t>Primary Methodologies</w:t>
            </w:r>
          </w:p>
        </w:tc>
        <w:tc>
          <w:tcPr>
            <w:tcW w:type="dxa" w:w="5760"/>
            <w:shd w:fill="F4F6F9"/>
            <w:tcMar>
              <w:top w:w="60" w:type="dxa"/>
              <w:bottom w:w="60" w:type="dxa"/>
              <w:left w:w="120" w:type="dxa"/>
              <w:right w:w="120" w:type="dxa"/>
            </w:tcMar>
          </w:tcPr>
          <w:p>
            <w:pPr>
              <w:spacing w:line="276" w:lineRule="auto" w:before="40" w:after="40"/>
            </w:pPr>
            <w:r>
              <w:rPr>
                <w:rFonts w:ascii="Calibri" w:hAnsi="Calibri"/>
                <w:color w:val="222222"/>
                <w:sz w:val="18"/>
              </w:rPr>
              <w:t>Colormap Inversion, STFT Demodulation, Peak IAF Localization, Dichotic Pure Sine Synthesis</w:t>
            </w:r>
          </w:p>
        </w:tc>
      </w:tr>
      <w:tr>
        <w:tc>
          <w:tcPr>
            <w:tcW w:type="dxa" w:w="3600"/>
            <w:shd w:fill="FFFFFF"/>
            <w:tcMar>
              <w:top w:w="60" w:type="dxa"/>
              <w:bottom w:w="60" w:type="dxa"/>
              <w:left w:w="120" w:type="dxa"/>
              <w:right w:w="120" w:type="dxa"/>
            </w:tcMar>
          </w:tcPr>
          <w:p>
            <w:pPr>
              <w:spacing w:line="276" w:lineRule="auto" w:before="40" w:after="40"/>
            </w:pPr>
            <w:r>
              <w:rPr>
                <w:rFonts w:ascii="Calibri" w:hAnsi="Calibri"/>
                <w:color w:val="222222"/>
                <w:sz w:val="18"/>
              </w:rPr>
              <w:t>Output Prescriptions</w:t>
            </w:r>
          </w:p>
        </w:tc>
        <w:tc>
          <w:tcPr>
            <w:tcW w:type="dxa" w:w="5760"/>
            <w:shd w:fill="FFFFFF"/>
            <w:tcMar>
              <w:top w:w="60" w:type="dxa"/>
              <w:bottom w:w="60" w:type="dxa"/>
              <w:left w:w="120" w:type="dxa"/>
              <w:right w:w="120" w:type="dxa"/>
            </w:tcMar>
          </w:tcPr>
          <w:p>
            <w:pPr>
              <w:spacing w:line="276" w:lineRule="auto" w:before="40" w:after="40"/>
            </w:pPr>
            <w:r>
              <w:rPr>
                <w:rFonts w:ascii="Calibri" w:hAnsi="Calibri"/>
                <w:color w:val="222222"/>
                <w:sz w:val="18"/>
              </w:rPr>
              <w:t>16-bit 44.1 kHz Stereo PCM Audio with 1.5s Squared Half-Cosine Envelopes</w:t>
            </w:r>
          </w:p>
        </w:tc>
      </w:tr>
    </w:tbl>
    <w:p>
      <w:pPr>
        <w:spacing w:before="200" w:after="200"/>
      </w:pPr>
    </w:p>
    <w:p>
      <w:pPr>
        <w:pStyle w:val="Heading1"/>
        <w:keepNext/>
        <w:spacing w:before="280" w:after="120"/>
      </w:pPr>
      <w:r>
        <w:rPr>
          <w:rFonts w:ascii="Arial" w:hAnsi="Arial"/>
          <w:b/>
          <w:color w:val="1B365D"/>
          <w:sz w:val="28"/>
        </w:rPr>
        <w:t>Executive Overview: Architecture &amp; Notebook Workflow</w:t>
      </w:r>
    </w:p>
    <w:p>
      <w:pPr>
        <w:spacing w:before="0" w:after="80" w:line="276" w:lineRule="auto"/>
      </w:pPr>
      <w:r>
        <w:rPr>
          <w:rFonts w:ascii="Calibri" w:hAnsi="Calibri"/>
          <w:color w:val="222222"/>
          <w:sz w:val="21"/>
        </w:rPr>
        <w:t>The Jupyter Notebook 'spectrogram_binaural_treatment.ipynb' serves as the complete operational bridge between non-invasive time-frequency brain diagnostics and therapeutic acoustic neuromodulation. The pipeline ingests 2D Short-Time Fourier Transform (STFT) spectrogram image files rendered across 1.0 Hz to 50.0 Hz, accurately reverses the non-linear RGB color mapping into calibrated microvolts-squared spectral power, quantifies electrophysiological rhythm deficits, identifies the patient's Individual Alpha Frequency (IAF), and synthesizes click-free stereo binaural beat audio prescriptions.</w:t>
      </w:r>
    </w:p>
    <w:p>
      <w:pPr>
        <w:spacing w:before="0" w:after="80" w:line="276" w:lineRule="auto"/>
      </w:pPr>
      <w:r>
        <w:rPr>
          <w:rFonts w:ascii="Calibri" w:hAnsi="Calibri"/>
          <w:color w:val="222222"/>
          <w:sz w:val="21"/>
        </w:rPr>
        <w:t>To provide maximum clarity for clinical reviewers, biomedical researchers, and software engineers, this document examines each of the 19 notebook cells in sequential order. For every cell, we detail: (1) Cell type and anatomical position, (2) Core programmatic or informational purpose, (3) Detailed explanation of what is happening under the hood, (4) Direct, understandable plaintext formulas (without LaTeX code), and (5) Complete breakdown of all mathematical symbols and clinical rationale.</w:t>
      </w:r>
    </w:p>
    <w:tbl>
      <w:tblPr>
        <w:tblW w:type="auto" w:w="0"/>
        <w:jc w:val="center"/>
        <w:tblLook w:firstColumn="1" w:firstRow="1" w:lastColumn="0" w:lastRow="0" w:noHBand="0" w:noVBand="1" w:val="04A0"/>
      </w:tblPr>
      <w:tblGrid>
        <w:gridCol w:w="9360"/>
      </w:tblGrid>
      <w:tr>
        <w:tc>
          <w:tcPr>
            <w:tcW w:type="dxa" w:w="9360"/>
            <w:shd w:fill="F4F6F9"/>
            <w:tcBorders>
              <w:left w:val="single" w:sz="24" w:space="0" w:color="4A777A"/>
              <w:top w:val="none"/>
              <w:right w:val="none"/>
              <w:bottom w:val="none"/>
            </w:tcBorders>
            <w:tcMar>
              <w:top w:w="120" w:type="dxa"/>
              <w:bottom w:w="120" w:type="dxa"/>
              <w:left w:w="180" w:type="dxa"/>
              <w:right w:w="180" w:type="dxa"/>
            </w:tcMar>
          </w:tcPr>
          <w:p>
            <w:pPr>
              <w:spacing w:before="40" w:after="40" w:line="276" w:lineRule="auto"/>
            </w:pPr>
            <w:r>
              <w:rPr>
                <w:rFonts w:ascii="Arial" w:hAnsi="Arial"/>
                <w:b/>
                <w:color w:val="1B365D"/>
                <w:sz w:val="20"/>
              </w:rPr>
              <w:t xml:space="preserve">NOTE ON MATHEMATICAL NOTATION: </w:t>
            </w:r>
            <w:r>
              <w:rPr>
                <w:rFonts w:ascii="Calibri" w:hAnsi="Calibri"/>
                <w:i/>
                <w:color w:val="333333"/>
                <w:sz w:val="20"/>
              </w:rPr>
              <w:t>Throughout this reference guide, all mathematical formulations are presented using plain typographical expressions (such as sqrt, sum, integral, and exponent symbols) to ensure that the logic is immediately legible and unambiguous without requiring external TeX rendering engines.</w:t>
            </w:r>
          </w:p>
        </w:tc>
      </w:tr>
    </w:tbl>
    <w:p>
      <w:pPr>
        <w:spacing w:before="0" w:after="60"/>
      </w:pPr>
    </w:p>
    <w:p>
      <w:pPr>
        <w:pStyle w:val="Heading1"/>
        <w:keepNext/>
        <w:spacing w:before="280" w:after="120"/>
      </w:pPr>
      <w:r>
        <w:rPr>
          <w:rFonts w:ascii="Arial" w:hAnsi="Arial"/>
          <w:b/>
          <w:color w:val="1B365D"/>
          <w:sz w:val="28"/>
        </w:rPr>
        <w:t>Cell 0: Markdown - Notebook Header &amp; Executive Scope</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Markdown (Informational / Architectural Framing)</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Defines the clinical charter, background, and operational stages of the FYDP neuromodulation pipeline.</w:t>
      </w:r>
    </w:p>
    <w:p>
      <w:pPr>
        <w:spacing w:before="0" w:after="80" w:line="276" w:lineRule="auto"/>
      </w:pPr>
      <w:r>
        <w:rPr>
          <w:rFonts w:ascii="Calibri" w:hAnsi="Calibri"/>
          <w:color w:val="222222"/>
          <w:sz w:val="21"/>
        </w:rPr>
        <w:t>What Happens in Cell 0:</w:t>
      </w:r>
    </w:p>
    <w:p>
      <w:pPr>
        <w:spacing w:before="0" w:after="80" w:line="276" w:lineRule="auto"/>
      </w:pPr>
      <w:r>
        <w:rPr>
          <w:rFonts w:ascii="Calibri" w:hAnsi="Calibri"/>
          <w:color w:val="222222"/>
          <w:sz w:val="21"/>
        </w:rPr>
        <w:t>Cell 0 frames the biomedical necessity of the system. Migraine is pathophysiologically linked to cortical hyperexcitability and thalamocortical dysrhythmia (TCD), typically manifesting as diminished resting-state alpha oscillations (8-13 Hz) and amplified theta/beta/gamma reactivity. Cell 0 introduces the five core computational milestones executed across the notebook:</w:t>
      </w:r>
    </w:p>
    <w:p>
      <w:pPr>
        <w:pStyle w:val="ListBullet"/>
        <w:spacing w:before="0" w:after="60" w:line="276" w:lineRule="auto"/>
      </w:pPr>
      <w:r>
        <w:rPr>
          <w:rFonts w:ascii="Calibri" w:hAnsi="Calibri"/>
          <w:b/>
          <w:color w:val="1B365D"/>
          <w:sz w:val="21"/>
        </w:rPr>
        <w:t xml:space="preserve">Milestone 1: </w:t>
      </w:r>
      <w:r>
        <w:rPr>
          <w:rFonts w:ascii="Calibri" w:hAnsi="Calibri"/>
          <w:color w:val="222222"/>
          <w:sz w:val="21"/>
        </w:rPr>
        <w:t>Spectrogram Inversion: Inverting 2D Viridis time-frequency spectrogram images (1.0 to 50.0 Hz) into linear power spectral density arrays.</w:t>
      </w:r>
    </w:p>
    <w:p>
      <w:pPr>
        <w:pStyle w:val="ListBullet"/>
        <w:spacing w:before="0" w:after="60" w:line="276" w:lineRule="auto"/>
      </w:pPr>
      <w:r>
        <w:rPr>
          <w:rFonts w:ascii="Calibri" w:hAnsi="Calibri"/>
          <w:b/>
          <w:color w:val="1B365D"/>
          <w:sz w:val="21"/>
        </w:rPr>
        <w:t xml:space="preserve">Milestone 2: </w:t>
      </w:r>
      <w:r>
        <w:rPr>
          <w:rFonts w:ascii="Calibri" w:hAnsi="Calibri"/>
          <w:color w:val="222222"/>
          <w:sz w:val="21"/>
        </w:rPr>
        <w:t>Biomarker Extraction: Computing relative power proportions across Delta, Theta, Alpha, Beta, and Gamma bands, plus TAR and TBR ratios.</w:t>
      </w:r>
    </w:p>
    <w:p>
      <w:pPr>
        <w:pStyle w:val="ListBullet"/>
        <w:spacing w:before="0" w:after="60" w:line="276" w:lineRule="auto"/>
      </w:pPr>
      <w:r>
        <w:rPr>
          <w:rFonts w:ascii="Calibri" w:hAnsi="Calibri"/>
          <w:b/>
          <w:color w:val="1B365D"/>
          <w:sz w:val="21"/>
        </w:rPr>
        <w:t xml:space="preserve">Milestone 3: </w:t>
      </w:r>
      <w:r>
        <w:rPr>
          <w:rFonts w:ascii="Calibri" w:hAnsi="Calibri"/>
          <w:color w:val="222222"/>
          <w:sz w:val="21"/>
        </w:rPr>
        <w:t>Resonant Mode Isolation: Pinpointing the patient's Individual Alpha Peak Frequency (IAF).</w:t>
      </w:r>
    </w:p>
    <w:p>
      <w:pPr>
        <w:pStyle w:val="ListBullet"/>
        <w:spacing w:before="0" w:after="60" w:line="276" w:lineRule="auto"/>
      </w:pPr>
      <w:r>
        <w:rPr>
          <w:rFonts w:ascii="Calibri" w:hAnsi="Calibri"/>
          <w:b/>
          <w:color w:val="1B365D"/>
          <w:sz w:val="21"/>
        </w:rPr>
        <w:t xml:space="preserve">Milestone 4: </w:t>
      </w:r>
      <w:r>
        <w:rPr>
          <w:rFonts w:ascii="Calibri" w:hAnsi="Calibri"/>
          <w:color w:val="222222"/>
          <w:sz w:val="21"/>
        </w:rPr>
        <w:t>Psychoacoustic Audio Synthesis: Generating 16-bit 44.1 kHz stereo PCM WAV audio centered at carrier 216.0 Hz with squared half-cosine edge smoothing.</w:t>
      </w:r>
    </w:p>
    <w:p>
      <w:pPr>
        <w:pStyle w:val="ListBullet"/>
        <w:spacing w:before="0" w:after="60" w:line="276" w:lineRule="auto"/>
      </w:pPr>
      <w:r>
        <w:rPr>
          <w:rFonts w:ascii="Calibri" w:hAnsi="Calibri"/>
          <w:b/>
          <w:color w:val="1B365D"/>
          <w:sz w:val="21"/>
        </w:rPr>
        <w:t xml:space="preserve">Milestone 5: </w:t>
      </w:r>
      <w:r>
        <w:rPr>
          <w:rFonts w:ascii="Calibri" w:hAnsi="Calibri"/>
          <w:color w:val="222222"/>
          <w:sz w:val="21"/>
        </w:rPr>
        <w:t>Population Validation: Comparing Migraine vs. Healthy Control cohort metrics to verify diagnostic separation.</w:t>
      </w:r>
    </w:p>
    <w:tbl>
      <w:tblPr>
        <w:tblW w:type="auto" w:w="0"/>
        <w:jc w:val="center"/>
        <w:tblLook w:firstColumn="1" w:firstRow="1" w:lastColumn="0" w:lastRow="0" w:noHBand="0" w:noVBand="1" w:val="04A0"/>
      </w:tblPr>
      <w:tblGrid>
        <w:gridCol w:w="9360"/>
      </w:tblGrid>
      <w:tr>
        <w:tc>
          <w:tcPr>
            <w:tcW w:type="dxa" w:w="9360"/>
            <w:shd w:fill="F4F6F9"/>
            <w:tcBorders>
              <w:left w:val="single" w:sz="24" w:space="0" w:color="4A777A"/>
              <w:top w:val="none"/>
              <w:right w:val="none"/>
              <w:bottom w:val="none"/>
            </w:tcBorders>
            <w:tcMar>
              <w:top w:w="120" w:type="dxa"/>
              <w:bottom w:w="120" w:type="dxa"/>
              <w:left w:w="180" w:type="dxa"/>
              <w:right w:w="180" w:type="dxa"/>
            </w:tcMar>
          </w:tcPr>
          <w:p>
            <w:pPr>
              <w:spacing w:before="40" w:after="40" w:line="276" w:lineRule="auto"/>
            </w:pPr>
            <w:r>
              <w:rPr>
                <w:rFonts w:ascii="Arial" w:hAnsi="Arial"/>
                <w:b/>
                <w:color w:val="1B365D"/>
                <w:sz w:val="20"/>
              </w:rPr>
              <w:t xml:space="preserve">ARCHITECTURAL CONTEXT: </w:t>
            </w:r>
            <w:r>
              <w:rPr>
                <w:rFonts w:ascii="Calibri" w:hAnsi="Calibri"/>
                <w:i/>
                <w:color w:val="333333"/>
                <w:sz w:val="20"/>
              </w:rPr>
              <w:t>Cell 0 establishes the engineering philosophy: converting pre-rendered visual diagnostic artifacts directly into therapeutic acoustic prescriptions without requiring access to raw continuous EDF files.</w:t>
            </w:r>
          </w:p>
        </w:tc>
      </w:tr>
    </w:tbl>
    <w:p>
      <w:pPr>
        <w:spacing w:before="0" w:after="60"/>
      </w:pPr>
    </w:p>
    <w:p>
      <w:pPr>
        <w:pStyle w:val="Heading1"/>
        <w:keepNext/>
        <w:spacing w:before="280" w:after="120"/>
      </w:pPr>
      <w:r>
        <w:rPr>
          <w:rFonts w:ascii="Arial" w:hAnsi="Arial"/>
          <w:b/>
          <w:color w:val="1B365D"/>
          <w:sz w:val="28"/>
        </w:rPr>
        <w:t>Cell 1: Markdown - Curated Clinical &amp; Technical Literature (2023-2026)</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Markdown (Scientific Evidence &amp; Regulatory Justification)</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Synthesizes five foundational peer-reviewed studies that establish the electrophysiological validity of the pipeline.</w:t>
      </w:r>
    </w:p>
    <w:p>
      <w:pPr>
        <w:spacing w:before="0" w:after="80" w:line="276" w:lineRule="auto"/>
      </w:pPr>
      <w:r>
        <w:rPr>
          <w:rFonts w:ascii="Calibri" w:hAnsi="Calibri"/>
          <w:color w:val="222222"/>
          <w:sz w:val="21"/>
        </w:rPr>
        <w:t>What Happens in Cell 1:</w:t>
      </w:r>
    </w:p>
    <w:p>
      <w:pPr>
        <w:spacing w:before="0" w:after="80" w:line="276" w:lineRule="auto"/>
      </w:pPr>
      <w:r>
        <w:rPr>
          <w:rFonts w:ascii="Calibri" w:hAnsi="Calibri"/>
          <w:color w:val="222222"/>
          <w:sz w:val="21"/>
        </w:rPr>
        <w:t>Cell 1 presents a structured literature review linking each algorithmic parameter to published experimental neuroscience:</w:t>
      </w:r>
    </w:p>
    <w:tbl>
      <w:tblPr>
        <w:tblW w:type="auto" w:w="0"/>
        <w:jc w:val="center"/>
        <w:tblLook w:firstColumn="1" w:firstRow="1" w:lastColumn="0" w:lastRow="0" w:noHBand="0" w:noVBand="1" w:val="04A0"/>
      </w:tblPr>
      <w:tblGrid>
        <w:gridCol w:w="3120"/>
        <w:gridCol w:w="3120"/>
        <w:gridCol w:w="3120"/>
      </w:tblGrid>
      <w:tr>
        <w:tc>
          <w:tcPr>
            <w:tcW w:type="dxa" w:w="2592"/>
            <w:shd w:fill="1B365D"/>
            <w:tcMar>
              <w:top w:w="80" w:type="dxa"/>
              <w:bottom w:w="80" w:type="dxa"/>
              <w:left w:w="120" w:type="dxa"/>
              <w:right w:w="120" w:type="dxa"/>
            </w:tcMar>
          </w:tcPr>
          <w:p>
            <w:pPr>
              <w:jc w:val="center"/>
            </w:pPr>
            <w:r>
              <w:rPr>
                <w:rFonts w:ascii="Arial" w:hAnsi="Arial"/>
                <w:b/>
                <w:color w:val="FFFFFF"/>
                <w:sz w:val="18"/>
              </w:rPr>
              <w:t>Citation &amp; Venue</w:t>
            </w:r>
          </w:p>
        </w:tc>
        <w:tc>
          <w:tcPr>
            <w:tcW w:type="dxa" w:w="3888"/>
            <w:shd w:fill="1B365D"/>
            <w:tcMar>
              <w:top w:w="80" w:type="dxa"/>
              <w:bottom w:w="80" w:type="dxa"/>
              <w:left w:w="120" w:type="dxa"/>
              <w:right w:w="120" w:type="dxa"/>
            </w:tcMar>
          </w:tcPr>
          <w:p>
            <w:pPr>
              <w:jc w:val="center"/>
            </w:pPr>
            <w:r>
              <w:rPr>
                <w:rFonts w:ascii="Arial" w:hAnsi="Arial"/>
                <w:b/>
                <w:color w:val="FFFFFF"/>
                <w:sz w:val="18"/>
              </w:rPr>
              <w:t>Electrophysiological Finding</w:t>
            </w:r>
          </w:p>
        </w:tc>
        <w:tc>
          <w:tcPr>
            <w:tcW w:type="dxa" w:w="2880"/>
            <w:shd w:fill="1B365D"/>
            <w:tcMar>
              <w:top w:w="80" w:type="dxa"/>
              <w:bottom w:w="80" w:type="dxa"/>
              <w:left w:w="120" w:type="dxa"/>
              <w:right w:w="120" w:type="dxa"/>
            </w:tcMar>
          </w:tcPr>
          <w:p>
            <w:pPr>
              <w:jc w:val="center"/>
            </w:pPr>
            <w:r>
              <w:rPr>
                <w:rFonts w:ascii="Arial" w:hAnsi="Arial"/>
                <w:b/>
                <w:color w:val="FFFFFF"/>
                <w:sz w:val="18"/>
              </w:rPr>
              <w:t>Applied Parameter Rationale</w:t>
            </w:r>
          </w:p>
        </w:tc>
      </w:tr>
      <w:tr>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Orhanbulucu, Latifoglu &amp; Baydemir (2023)</w:t>
              <w:br/>
              <w:t>Diagnostics, 13(11), 1887</w:t>
            </w:r>
          </w:p>
        </w:tc>
        <w:tc>
          <w:tcPr>
            <w:tcW w:type="dxa" w:w="3888"/>
            <w:shd w:fill="FFFFFF"/>
            <w:tcMar>
              <w:top w:w="60" w:type="dxa"/>
              <w:bottom w:w="60" w:type="dxa"/>
              <w:left w:w="120" w:type="dxa"/>
              <w:right w:w="120" w:type="dxa"/>
            </w:tcMar>
          </w:tcPr>
          <w:p>
            <w:pPr>
              <w:spacing w:line="276" w:lineRule="auto" w:before="40" w:after="40"/>
            </w:pPr>
            <w:r>
              <w:rPr>
                <w:rFonts w:ascii="Calibri" w:hAnsi="Calibri"/>
                <w:color w:val="222222"/>
                <w:sz w:val="18"/>
              </w:rPr>
              <w:t>Demonstrated that 1-50 Hz STFT spectrogram images yield 94.7% accuracy in identifying migraine cortical dysrhythmia.</w:t>
            </w:r>
          </w:p>
        </w:tc>
        <w:tc>
          <w:tcPr>
            <w:tcW w:type="dxa" w:w="2880"/>
            <w:shd w:fill="FFFFFF"/>
            <w:tcMar>
              <w:top w:w="60" w:type="dxa"/>
              <w:bottom w:w="60" w:type="dxa"/>
              <w:left w:w="120" w:type="dxa"/>
              <w:right w:w="120" w:type="dxa"/>
            </w:tcMar>
          </w:tcPr>
          <w:p>
            <w:pPr>
              <w:spacing w:line="276" w:lineRule="auto" w:before="40" w:after="40"/>
            </w:pPr>
            <w:r>
              <w:rPr>
                <w:rFonts w:ascii="Calibri" w:hAnsi="Calibri"/>
                <w:color w:val="222222"/>
                <w:sz w:val="18"/>
              </w:rPr>
              <w:t>Validates spectrogram image pixel rows as faithful continuous proxies for cortical power spectral density.</w:t>
            </w:r>
          </w:p>
        </w:tc>
      </w:tr>
      <w:tr>
        <w:tc>
          <w:tcPr>
            <w:tcW w:type="dxa" w:w="2592"/>
            <w:shd w:fill="F4F6F9"/>
            <w:tcMar>
              <w:top w:w="60" w:type="dxa"/>
              <w:bottom w:w="60" w:type="dxa"/>
              <w:left w:w="120" w:type="dxa"/>
              <w:right w:w="120" w:type="dxa"/>
            </w:tcMar>
          </w:tcPr>
          <w:p>
            <w:pPr>
              <w:spacing w:line="276" w:lineRule="auto" w:before="40" w:after="40"/>
            </w:pPr>
            <w:r>
              <w:rPr>
                <w:rFonts w:ascii="Calibri" w:hAnsi="Calibri"/>
                <w:color w:val="222222"/>
                <w:sz w:val="18"/>
              </w:rPr>
              <w:t>Aslan (2023)</w:t>
              <w:br/>
              <w:t>Circuits, Systems &amp; Signal Processing, 42(5), 3054-3071</w:t>
            </w:r>
          </w:p>
        </w:tc>
        <w:tc>
          <w:tcPr>
            <w:tcW w:type="dxa" w:w="3888"/>
            <w:shd w:fill="F4F6F9"/>
            <w:tcMar>
              <w:top w:w="60" w:type="dxa"/>
              <w:bottom w:w="60" w:type="dxa"/>
              <w:left w:w="120" w:type="dxa"/>
              <w:right w:w="120" w:type="dxa"/>
            </w:tcMar>
          </w:tcPr>
          <w:p>
            <w:pPr>
              <w:spacing w:line="276" w:lineRule="auto" w:before="40" w:after="40"/>
            </w:pPr>
            <w:r>
              <w:rPr>
                <w:rFonts w:ascii="Calibri" w:hAnsi="Calibri"/>
                <w:color w:val="222222"/>
                <w:sz w:val="18"/>
              </w:rPr>
              <w:t>Utilized time-frequency transforms on the CMU migraine EEG dataset, confirming substantial resting alpha power suppression.</w:t>
            </w:r>
          </w:p>
        </w:tc>
        <w:tc>
          <w:tcPr>
            <w:tcW w:type="dxa" w:w="2880"/>
            <w:shd w:fill="F4F6F9"/>
            <w:tcMar>
              <w:top w:w="60" w:type="dxa"/>
              <w:bottom w:w="60" w:type="dxa"/>
              <w:left w:w="120" w:type="dxa"/>
              <w:right w:w="120" w:type="dxa"/>
            </w:tcMar>
          </w:tcPr>
          <w:p>
            <w:pPr>
              <w:spacing w:line="276" w:lineRule="auto" w:before="40" w:after="40"/>
            </w:pPr>
            <w:r>
              <w:rPr>
                <w:rFonts w:ascii="Calibri" w:hAnsi="Calibri"/>
                <w:color w:val="222222"/>
                <w:sz w:val="18"/>
              </w:rPr>
              <w:t>Confirms that the dataset files (M10, M11, etc.) possess distinct, recoverable alpha deficits.</w:t>
            </w:r>
          </w:p>
        </w:tc>
      </w:tr>
      <w:tr>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Alonso et al. (2024)</w:t>
              <w:br/>
              <w:t>Frontiers in Human Neuroscience, 18, 1374521</w:t>
            </w:r>
          </w:p>
        </w:tc>
        <w:tc>
          <w:tcPr>
            <w:tcW w:type="dxa" w:w="3888"/>
            <w:shd w:fill="FFFFFF"/>
            <w:tcMar>
              <w:top w:w="60" w:type="dxa"/>
              <w:bottom w:w="60" w:type="dxa"/>
              <w:left w:w="120" w:type="dxa"/>
              <w:right w:w="120" w:type="dxa"/>
            </w:tcMar>
          </w:tcPr>
          <w:p>
            <w:pPr>
              <w:spacing w:line="276" w:lineRule="auto" w:before="40" w:after="40"/>
            </w:pPr>
            <w:r>
              <w:rPr>
                <w:rFonts w:ascii="Calibri" w:hAnsi="Calibri"/>
                <w:color w:val="222222"/>
                <w:sz w:val="18"/>
              </w:rPr>
              <w:t>High-density 64-channel EEG study proving individualized alpha beats (beat = IAF) drive significantly stronger phase-locking than fixed 10 Hz beats.</w:t>
            </w:r>
          </w:p>
        </w:tc>
        <w:tc>
          <w:tcPr>
            <w:tcW w:type="dxa" w:w="2880"/>
            <w:shd w:fill="FFFFFF"/>
            <w:tcMar>
              <w:top w:w="60" w:type="dxa"/>
              <w:bottom w:w="60" w:type="dxa"/>
              <w:left w:w="120" w:type="dxa"/>
              <w:right w:w="120" w:type="dxa"/>
            </w:tcMar>
          </w:tcPr>
          <w:p>
            <w:pPr>
              <w:spacing w:line="276" w:lineRule="auto" w:before="40" w:after="40"/>
            </w:pPr>
            <w:r>
              <w:rPr>
                <w:rFonts w:ascii="Calibri" w:hAnsi="Calibri"/>
                <w:color w:val="222222"/>
                <w:sz w:val="18"/>
              </w:rPr>
              <w:t>Establishes the clinical requirement: Beat Frequency = Patient IAF, rather than a generic 10.0 Hz.</w:t>
            </w:r>
          </w:p>
        </w:tc>
      </w:tr>
      <w:tr>
        <w:tc>
          <w:tcPr>
            <w:tcW w:type="dxa" w:w="2592"/>
            <w:shd w:fill="F4F6F9"/>
            <w:tcMar>
              <w:top w:w="60" w:type="dxa"/>
              <w:bottom w:w="60" w:type="dxa"/>
              <w:left w:w="120" w:type="dxa"/>
              <w:right w:w="120" w:type="dxa"/>
            </w:tcMar>
          </w:tcPr>
          <w:p>
            <w:pPr>
              <w:spacing w:line="276" w:lineRule="auto" w:before="40" w:after="40"/>
            </w:pPr>
            <w:r>
              <w:rPr>
                <w:rFonts w:ascii="Calibri" w:hAnsi="Calibri"/>
                <w:color w:val="222222"/>
                <w:sz w:val="18"/>
              </w:rPr>
              <w:t>Bhowmik et al. (2024)</w:t>
              <w:br/>
              <w:t>Nature Scientific Reports, 14, 2149</w:t>
            </w:r>
          </w:p>
        </w:tc>
        <w:tc>
          <w:tcPr>
            <w:tcW w:type="dxa" w:w="3888"/>
            <w:shd w:fill="F4F6F9"/>
            <w:tcMar>
              <w:top w:w="60" w:type="dxa"/>
              <w:bottom w:w="60" w:type="dxa"/>
              <w:left w:w="120" w:type="dxa"/>
              <w:right w:w="120" w:type="dxa"/>
            </w:tcMar>
          </w:tcPr>
          <w:p>
            <w:pPr>
              <w:spacing w:line="276" w:lineRule="auto" w:before="40" w:after="40"/>
            </w:pPr>
            <w:r>
              <w:rPr>
                <w:rFonts w:ascii="Calibri" w:hAnsi="Calibri"/>
                <w:color w:val="222222"/>
                <w:sz w:val="18"/>
              </w:rPr>
              <w:t>Investigated brainstem phase locking in the inferior colliculus, finding carrier frequencies of 200-250 Hz produce maximal entrainment.</w:t>
            </w:r>
          </w:p>
        </w:tc>
        <w:tc>
          <w:tcPr>
            <w:tcW w:type="dxa" w:w="2880"/>
            <w:shd w:fill="F4F6F9"/>
            <w:tcMar>
              <w:top w:w="60" w:type="dxa"/>
              <w:bottom w:w="60" w:type="dxa"/>
              <w:left w:w="120" w:type="dxa"/>
              <w:right w:w="120" w:type="dxa"/>
            </w:tcMar>
          </w:tcPr>
          <w:p>
            <w:pPr>
              <w:spacing w:line="276" w:lineRule="auto" w:before="40" w:after="40"/>
            </w:pPr>
            <w:r>
              <w:rPr>
                <w:rFonts w:ascii="Calibri" w:hAnsi="Calibri"/>
                <w:color w:val="222222"/>
                <w:sz w:val="18"/>
              </w:rPr>
              <w:t>Provides the exact justification for setting Carrier Frequency = 216.0 Hz.</w:t>
            </w:r>
          </w:p>
        </w:tc>
      </w:tr>
      <w:tr>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Magalhaes et al. (2025)</w:t>
              <w:br/>
              <w:t>European Journal of Neuroscience, 61(2), e16342</w:t>
            </w:r>
          </w:p>
        </w:tc>
        <w:tc>
          <w:tcPr>
            <w:tcW w:type="dxa" w:w="3888"/>
            <w:shd w:fill="FFFFFF"/>
            <w:tcMar>
              <w:top w:w="60" w:type="dxa"/>
              <w:bottom w:w="60" w:type="dxa"/>
              <w:left w:w="120" w:type="dxa"/>
              <w:right w:w="120" w:type="dxa"/>
            </w:tcMar>
          </w:tcPr>
          <w:p>
            <w:pPr>
              <w:spacing w:line="276" w:lineRule="auto" w:before="40" w:after="40"/>
            </w:pPr>
            <w:r>
              <w:rPr>
                <w:rFonts w:ascii="Calibri" w:hAnsi="Calibri"/>
                <w:color w:val="222222"/>
                <w:sz w:val="18"/>
              </w:rPr>
              <w:t>Clinical trial showing personalized alpha entrainment dampens trigeminovascular hyperexcitability and decreases monthly migraine days.</w:t>
            </w:r>
          </w:p>
        </w:tc>
        <w:tc>
          <w:tcPr>
            <w:tcW w:type="dxa" w:w="2880"/>
            <w:shd w:fill="FFFFFF"/>
            <w:tcMar>
              <w:top w:w="60" w:type="dxa"/>
              <w:bottom w:w="60" w:type="dxa"/>
              <w:left w:w="120" w:type="dxa"/>
              <w:right w:w="120" w:type="dxa"/>
            </w:tcMar>
          </w:tcPr>
          <w:p>
            <w:pPr>
              <w:spacing w:line="276" w:lineRule="auto" w:before="40" w:after="40"/>
            </w:pPr>
            <w:r>
              <w:rPr>
                <w:rFonts w:ascii="Calibri" w:hAnsi="Calibri"/>
                <w:color w:val="222222"/>
                <w:sz w:val="18"/>
              </w:rPr>
              <w:t>Confirms therapeutic safety, non-invasive efficacy, and patient tolerability standards.</w:t>
            </w:r>
          </w:p>
        </w:tc>
      </w:tr>
    </w:tbl>
    <w:p>
      <w:pPr>
        <w:pStyle w:val="Heading1"/>
        <w:keepNext/>
        <w:spacing w:before="280" w:after="120"/>
      </w:pPr>
      <w:r>
        <w:rPr>
          <w:rFonts w:ascii="Arial" w:hAnsi="Arial"/>
          <w:b/>
          <w:color w:val="1B365D"/>
          <w:sz w:val="28"/>
        </w:rPr>
        <w:t>Cell 2: Markdown - Mathematical Formulation &amp; Signal Processing Foundations</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Markdown (Mathematical Rigor &amp; Theoretical Foundation)</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Sets out the complete mathematical framework governing colormap inversion, frequency coordinate mapping, spectral integration, and acoustic synthesis.</w:t>
      </w:r>
    </w:p>
    <w:p>
      <w:pPr>
        <w:spacing w:before="0" w:after="80" w:line="276" w:lineRule="auto"/>
      </w:pPr>
      <w:r>
        <w:rPr>
          <w:rFonts w:ascii="Calibri" w:hAnsi="Calibri"/>
          <w:color w:val="222222"/>
          <w:sz w:val="21"/>
        </w:rPr>
        <w:t>What Happens in Cell 2:</w:t>
      </w:r>
    </w:p>
    <w:p>
      <w:pPr>
        <w:spacing w:before="0" w:after="80" w:line="276" w:lineRule="auto"/>
      </w:pPr>
      <w:r>
        <w:rPr>
          <w:rFonts w:ascii="Calibri" w:hAnsi="Calibri"/>
          <w:color w:val="222222"/>
          <w:sz w:val="21"/>
        </w:rPr>
        <w:t>Cell 2 presents the core governing equations of the entire pipeline. Below, each formula is detailed directly in plain, readable typography:</w:t>
      </w:r>
    </w:p>
    <w:p>
      <w:pPr>
        <w:pStyle w:val="Heading2"/>
        <w:keepNext/>
        <w:spacing w:before="220" w:after="80"/>
      </w:pPr>
      <w:r>
        <w:rPr>
          <w:rFonts w:ascii="Arial" w:hAnsi="Arial"/>
          <w:b/>
          <w:color w:val="4A777A"/>
          <w:sz w:val="24"/>
        </w:rPr>
        <w:t>1. Colormap Inversion &amp; Euclidean Distance Minimization</w:t>
      </w:r>
    </w:p>
    <w:p>
      <w:pPr>
        <w:spacing w:before="0" w:after="80" w:line="276" w:lineRule="auto"/>
      </w:pPr>
      <w:r>
        <w:rPr>
          <w:rFonts w:ascii="Calibri" w:hAnsi="Calibri"/>
          <w:color w:val="222222"/>
          <w:sz w:val="21"/>
        </w:rPr>
        <w:t>The viridis colormap maps scalar intensity into a smooth trajectory across RGB color space. A 256-level Look-Up Table (LUT) is defined:</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Color_LUT(k) = [ R_LUT(k),  G_LUT(k),  B_LUT(k) ]</w:t>
            </w:r>
          </w:p>
          <w:p>
            <w:pPr>
              <w:spacing w:before="40" w:after="40"/>
              <w:jc w:val="center"/>
            </w:pPr>
            <w:r>
              <w:rPr>
                <w:rFonts w:ascii="Consolas" w:hAnsi="Consolas"/>
                <w:b/>
                <w:color w:val="1B365D"/>
                <w:sz w:val="20"/>
              </w:rPr>
              <w:t>where k = 0, 1, 2, ..., 255</w:t>
            </w:r>
          </w:p>
          <w:p>
            <w:pPr>
              <w:spacing w:before="0" w:after="40"/>
              <w:jc w:val="right"/>
            </w:pPr>
            <w:r>
              <w:rPr>
                <w:rFonts w:ascii="Arial" w:hAnsi="Arial"/>
                <w:i/>
                <w:color w:val="777777"/>
                <w:sz w:val="17"/>
              </w:rPr>
              <w:t>[Formula 2.1: Look-Up Table Representation]</w:t>
            </w:r>
          </w:p>
        </w:tc>
      </w:tr>
    </w:tbl>
    <w:p>
      <w:pPr>
        <w:spacing w:before="0" w:after="60"/>
      </w:pPr>
    </w:p>
    <w:p>
      <w:pPr>
        <w:spacing w:before="0" w:after="80" w:line="276" w:lineRule="auto"/>
      </w:pPr>
      <w:r>
        <w:rPr>
          <w:rFonts w:ascii="Calibri" w:hAnsi="Calibri"/>
          <w:color w:val="222222"/>
          <w:sz w:val="21"/>
        </w:rPr>
        <w:t>To invert any observed pixel p(y, t) = [R_pix, G_pix, B_pix] at row y and column t, the squared Euclidean color distance is computed against all 256 LUT entries: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Distance_Squared(k) = (R_pix - R_LUT(k))^2 + (G_pix - G_LUT(k))^2 + (B_pix - B_LUT(k))^2</w:t>
            </w:r>
          </w:p>
          <w:p>
            <w:pPr>
              <w:spacing w:before="40" w:after="40"/>
              <w:jc w:val="center"/>
            </w:pPr>
            <w:r>
              <w:rPr>
                <w:rFonts w:ascii="Consolas" w:hAnsi="Consolas"/>
                <w:b/>
                <w:color w:val="1B365D"/>
                <w:sz w:val="20"/>
              </w:rPr>
              <w:t>Best_Index(y, t) = Index_k_that_Minimizes [ Distance_Squared(k) ]</w:t>
            </w:r>
          </w:p>
          <w:p>
            <w:pPr>
              <w:spacing w:before="40" w:after="40"/>
              <w:jc w:val="center"/>
            </w:pPr>
            <w:r>
              <w:rPr>
                <w:rFonts w:ascii="Consolas" w:hAnsi="Consolas"/>
                <w:b/>
                <w:color w:val="1B365D"/>
                <w:sz w:val="20"/>
              </w:rPr>
              <w:t>Normalized_Intensity(y, t) = Best_Index(y, t) / 255.0</w:t>
            </w:r>
          </w:p>
          <w:p>
            <w:pPr>
              <w:spacing w:before="0" w:after="40"/>
              <w:jc w:val="right"/>
            </w:pPr>
            <w:r>
              <w:rPr>
                <w:rFonts w:ascii="Arial" w:hAnsi="Arial"/>
                <w:i/>
                <w:color w:val="777777"/>
                <w:sz w:val="17"/>
              </w:rPr>
              <w:t>[Formula 2.2: Nearest-Color Distance Minimization]</w:t>
            </w:r>
          </w:p>
        </w:tc>
      </w:tr>
    </w:tbl>
    <w:p>
      <w:pPr>
        <w:spacing w:before="0" w:after="60"/>
      </w:pPr>
    </w:p>
    <w:p>
      <w:pPr>
        <w:pStyle w:val="ListBullet"/>
        <w:spacing w:before="0" w:after="60" w:line="276" w:lineRule="auto"/>
      </w:pPr>
      <w:r>
        <w:rPr>
          <w:rFonts w:ascii="Calibri" w:hAnsi="Calibri"/>
          <w:b/>
          <w:color w:val="1B365D"/>
          <w:sz w:val="21"/>
        </w:rPr>
        <w:t xml:space="preserve">R_pix, G_pix, B_pix: </w:t>
      </w:r>
      <w:r>
        <w:rPr>
          <w:rFonts w:ascii="Calibri" w:hAnsi="Calibri"/>
          <w:color w:val="222222"/>
          <w:sz w:val="21"/>
        </w:rPr>
        <w:t>The red, green, and blue values of the pixel, each ranging from 0.0 to 255.0.</w:t>
      </w:r>
    </w:p>
    <w:p>
      <w:pPr>
        <w:pStyle w:val="ListBullet"/>
        <w:spacing w:before="0" w:after="60" w:line="276" w:lineRule="auto"/>
      </w:pPr>
      <w:r>
        <w:rPr>
          <w:rFonts w:ascii="Calibri" w:hAnsi="Calibri"/>
          <w:b/>
          <w:color w:val="1B365D"/>
          <w:sz w:val="21"/>
        </w:rPr>
        <w:t xml:space="preserve">Best_Index(y, t): </w:t>
      </w:r>
      <w:r>
        <w:rPr>
          <w:rFonts w:ascii="Calibri" w:hAnsi="Calibri"/>
          <w:color w:val="222222"/>
          <w:sz w:val="21"/>
        </w:rPr>
        <w:t>The integer position (0 to 255) in the LUT that matches the pixel's observed hue and luminance.</w:t>
      </w:r>
    </w:p>
    <w:p>
      <w:pPr>
        <w:pStyle w:val="ListBullet"/>
        <w:spacing w:before="0" w:after="60" w:line="276" w:lineRule="auto"/>
      </w:pPr>
      <w:r>
        <w:rPr>
          <w:rFonts w:ascii="Calibri" w:hAnsi="Calibri"/>
          <w:b/>
          <w:color w:val="1B365D"/>
          <w:sz w:val="21"/>
        </w:rPr>
        <w:t xml:space="preserve">Normalized_Intensity(y, t): </w:t>
      </w:r>
      <w:r>
        <w:rPr>
          <w:rFonts w:ascii="Calibri" w:hAnsi="Calibri"/>
          <w:color w:val="222222"/>
          <w:sz w:val="21"/>
        </w:rPr>
        <w:t>The reconstructed normalized spectral magnitude, bounded between 0.0 (quietest) and 1.0 (loudest).</w:t>
      </w:r>
    </w:p>
    <w:p>
      <w:pPr>
        <w:pStyle w:val="Heading2"/>
        <w:keepNext/>
        <w:spacing w:before="220" w:after="80"/>
      </w:pPr>
      <w:r>
        <w:rPr>
          <w:rFonts w:ascii="Arial" w:hAnsi="Arial"/>
          <w:b/>
          <w:color w:val="4A777A"/>
          <w:sz w:val="24"/>
        </w:rPr>
        <w:t>2. Decibel Power Scaling and Linear Power Recovery</w:t>
      </w:r>
    </w:p>
    <w:p>
      <w:pPr>
        <w:spacing w:before="0" w:after="80" w:line="276" w:lineRule="auto"/>
      </w:pPr>
      <w:r>
        <w:rPr>
          <w:rFonts w:ascii="Calibri" w:hAnsi="Calibri"/>
          <w:color w:val="222222"/>
          <w:sz w:val="21"/>
        </w:rPr>
        <w:t>The spectrogram STFT generator utilized a fixed display range from -10.0 dB to +30.0 dB. The calibrated decibel power is recovered via linear interpolation: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Power_dB(y, t) = Power_Min + Normalized_Intensity(y, t) * (Power_Max - Power_Min)</w:t>
            </w:r>
          </w:p>
          <w:p>
            <w:pPr>
              <w:spacing w:before="40" w:after="40"/>
              <w:jc w:val="center"/>
            </w:pPr>
            <w:r>
              <w:rPr>
                <w:rFonts w:ascii="Consolas" w:hAnsi="Consolas"/>
                <w:b/>
                <w:color w:val="1B365D"/>
                <w:sz w:val="20"/>
              </w:rPr>
              <w:t>Power_dB(y, t) = -10.0 + 40.0 * Normalized_Intensity(y, t)   [in decibels (dB)]</w:t>
            </w:r>
          </w:p>
          <w:p>
            <w:pPr>
              <w:spacing w:before="0" w:after="40"/>
              <w:jc w:val="right"/>
            </w:pPr>
            <w:r>
              <w:rPr>
                <w:rFonts w:ascii="Arial" w:hAnsi="Arial"/>
                <w:i/>
                <w:color w:val="777777"/>
                <w:sz w:val="17"/>
              </w:rPr>
              <w:t>[Formula 2.3: Calibrated Decibel Power]</w:t>
            </w:r>
          </w:p>
        </w:tc>
      </w:tr>
    </w:tbl>
    <w:p>
      <w:pPr>
        <w:spacing w:before="0" w:after="60"/>
      </w:pPr>
    </w:p>
    <w:p>
      <w:pPr>
        <w:spacing w:before="0" w:after="80" w:line="276" w:lineRule="auto"/>
      </w:pPr>
      <w:r>
        <w:rPr>
          <w:rFonts w:ascii="Calibri" w:hAnsi="Calibri"/>
          <w:color w:val="222222"/>
          <w:sz w:val="21"/>
        </w:rPr>
        <w:t>Because decibels represent a base-10 logarithmic ratio (dB = 10 * log10(Power)), physical power spectral density is recovered via exponential inversion: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Power_Linear(y, t) = 10 ^ (Power_dB(y, t) / 10.0)</w:t>
            </w:r>
          </w:p>
          <w:p>
            <w:pPr>
              <w:spacing w:before="40" w:after="40"/>
              <w:jc w:val="center"/>
            </w:pPr>
            <w:r>
              <w:rPr>
                <w:rFonts w:ascii="Consolas" w:hAnsi="Consolas"/>
                <w:b/>
                <w:color w:val="1B365D"/>
                <w:sz w:val="20"/>
              </w:rPr>
              <w:t>Power_Linear(y, t) = 10 ^ (-1.0 + 4.0 * Normalized_Intensity(y, t))   [in microvolts squared per Hertz (uV^2/Hz)]</w:t>
            </w:r>
          </w:p>
          <w:p>
            <w:pPr>
              <w:spacing w:before="0" w:after="40"/>
              <w:jc w:val="right"/>
            </w:pPr>
            <w:r>
              <w:rPr>
                <w:rFonts w:ascii="Arial" w:hAnsi="Arial"/>
                <w:i/>
                <w:color w:val="777777"/>
                <w:sz w:val="17"/>
              </w:rPr>
              <w:t>[Formula 2.4: Logarithmic Decibel Inversion to Linear Power]</w:t>
            </w:r>
          </w:p>
        </w:tc>
      </w:tr>
    </w:tbl>
    <w:p>
      <w:pPr>
        <w:spacing w:before="0" w:after="60"/>
      </w:pPr>
    </w:p>
    <w:p>
      <w:pPr>
        <w:pStyle w:val="Heading2"/>
        <w:keepNext/>
        <w:spacing w:before="220" w:after="80"/>
      </w:pPr>
      <w:r>
        <w:rPr>
          <w:rFonts w:ascii="Arial" w:hAnsi="Arial"/>
          <w:b/>
          <w:color w:val="4A777A"/>
          <w:sz w:val="24"/>
        </w:rPr>
        <w:t>3. Spectrogram Row to Frequency Coordinate Mapping</w:t>
      </w:r>
    </w:p>
    <w:p>
      <w:pPr>
        <w:spacing w:before="0" w:after="80" w:line="276" w:lineRule="auto"/>
      </w:pPr>
      <w:r>
        <w:rPr>
          <w:rFonts w:ascii="Calibri" w:hAnsi="Calibri"/>
          <w:color w:val="222222"/>
          <w:sz w:val="21"/>
        </w:rPr>
        <w:t>In 2D image matrices, row index y = 0 represents the top edge, while row index y = Height - 1 represents the bottom edge. In the spectrogram, the top corresponds to 50.0 Hz and the bottom to 1.0 Hz:</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Frequency(y) = F_max - (y / (Height - 1)) * (F_max - F_min)</w:t>
            </w:r>
          </w:p>
          <w:p>
            <w:pPr>
              <w:spacing w:before="40" w:after="40"/>
              <w:jc w:val="center"/>
            </w:pPr>
            <w:r>
              <w:rPr>
                <w:rFonts w:ascii="Consolas" w:hAnsi="Consolas"/>
                <w:b/>
                <w:color w:val="1B365D"/>
                <w:sz w:val="20"/>
              </w:rPr>
              <w:t>Frequency(y) = 50.0 - (y / (Height - 1)) * 49.0   [in Hertz (Hz)]</w:t>
            </w:r>
          </w:p>
          <w:p>
            <w:pPr>
              <w:spacing w:before="0" w:after="40"/>
              <w:jc w:val="right"/>
            </w:pPr>
            <w:r>
              <w:rPr>
                <w:rFonts w:ascii="Arial" w:hAnsi="Arial"/>
                <w:i/>
                <w:color w:val="777777"/>
                <w:sz w:val="17"/>
              </w:rPr>
              <w:t>[Formula 2.5: Pixel Row to Frequency Mapping]</w:t>
            </w:r>
          </w:p>
        </w:tc>
      </w:tr>
    </w:tbl>
    <w:p>
      <w:pPr>
        <w:spacing w:before="0" w:after="60"/>
      </w:pPr>
    </w:p>
    <w:p>
      <w:pPr>
        <w:pStyle w:val="Heading2"/>
        <w:keepNext/>
        <w:spacing w:before="220" w:after="80"/>
      </w:pPr>
      <w:r>
        <w:rPr>
          <w:rFonts w:ascii="Arial" w:hAnsi="Arial"/>
          <w:b/>
          <w:color w:val="4A777A"/>
          <w:sz w:val="24"/>
        </w:rPr>
        <w:t>4. Time-Averaged Power Spectral Density (PSD)</w:t>
      </w:r>
    </w:p>
    <w:p>
      <w:pPr>
        <w:spacing w:before="0" w:after="80" w:line="276" w:lineRule="auto"/>
      </w:pPr>
      <w:r>
        <w:rPr>
          <w:rFonts w:ascii="Calibri" w:hAnsi="Calibri"/>
          <w:color w:val="222222"/>
          <w:sz w:val="21"/>
        </w:rPr>
        <w:t>To eliminate momentary transient noise and isolate stationary spectral power, linear power is averaged across all W time columns: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Mean_PSD(y) = (1 / W) * Sum_over_t=0_to_W-1 [ Power_Linear(y, t) ]</w:t>
            </w:r>
          </w:p>
          <w:p>
            <w:pPr>
              <w:spacing w:before="0" w:after="40"/>
              <w:jc w:val="right"/>
            </w:pPr>
            <w:r>
              <w:rPr>
                <w:rFonts w:ascii="Arial" w:hAnsi="Arial"/>
                <w:i/>
                <w:color w:val="777777"/>
                <w:sz w:val="17"/>
              </w:rPr>
              <w:t>[Formula 2.6: Stationary PSD Integration Across Time]</w:t>
            </w:r>
          </w:p>
        </w:tc>
      </w:tr>
    </w:tbl>
    <w:p>
      <w:pPr>
        <w:spacing w:before="0" w:after="60"/>
      </w:pPr>
    </w:p>
    <w:p>
      <w:pPr>
        <w:pStyle w:val="Heading2"/>
        <w:keepNext/>
        <w:spacing w:before="220" w:after="80"/>
      </w:pPr>
      <w:r>
        <w:rPr>
          <w:rFonts w:ascii="Arial" w:hAnsi="Arial"/>
          <w:b/>
          <w:color w:val="4A777A"/>
          <w:sz w:val="24"/>
        </w:rPr>
        <w:t>5. Canonical Band Powers and Normalization</w:t>
      </w:r>
    </w:p>
    <w:p>
      <w:pPr>
        <w:spacing w:before="0" w:after="80" w:line="276" w:lineRule="auto"/>
      </w:pPr>
      <w:r>
        <w:rPr>
          <w:rFonts w:ascii="Calibri" w:hAnsi="Calibri"/>
          <w:color w:val="222222"/>
          <w:sz w:val="21"/>
        </w:rPr>
        <w:t>The spectrum is segmented into five standard clinical frequency intervals: Delta (1.0 to 4.0 Hz), Theta (4.0 to 8.0 Hz), Alpha (8.0 to 13.0 Hz), Beta (13.0 to 30.0 Hz), and Gamma (30.0 to 50.0 Hz). For each band b, the absolute power is the mean PSD across all rows falling in that band:</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Raw_Band_Power(b) = (1 / N_b) * Sum_for_y_in_band [ Mean_PSD(y) ]</w:t>
            </w:r>
          </w:p>
          <w:p>
            <w:pPr>
              <w:spacing w:before="40" w:after="40"/>
              <w:jc w:val="center"/>
            </w:pPr>
            <w:r>
              <w:rPr>
                <w:rFonts w:ascii="Consolas" w:hAnsi="Consolas"/>
                <w:b/>
                <w:color w:val="1B365D"/>
                <w:sz w:val="20"/>
              </w:rPr>
              <w:t>Total_Power = Raw_Power(Delta) + Raw_Power(Theta) + Raw_Power(Alpha) + Raw_Power(Beta) + Raw_Power(Gamma)</w:t>
            </w:r>
          </w:p>
          <w:p>
            <w:pPr>
              <w:spacing w:before="40" w:after="40"/>
              <w:jc w:val="center"/>
            </w:pPr>
            <w:r>
              <w:rPr>
                <w:rFonts w:ascii="Consolas" w:hAnsi="Consolas"/>
                <w:b/>
                <w:color w:val="1B365D"/>
                <w:sz w:val="20"/>
              </w:rPr>
              <w:t>Relative_Band_Power(b) = Raw_Band_Power(b) / Total_Power</w:t>
            </w:r>
          </w:p>
          <w:p>
            <w:pPr>
              <w:spacing w:before="0" w:after="40"/>
              <w:jc w:val="right"/>
            </w:pPr>
            <w:r>
              <w:rPr>
                <w:rFonts w:ascii="Arial" w:hAnsi="Arial"/>
                <w:i/>
                <w:color w:val="777777"/>
                <w:sz w:val="17"/>
              </w:rPr>
              <w:t>[Formula 2.7: Absolute and Relative Band Powers]</w:t>
            </w:r>
          </w:p>
        </w:tc>
      </w:tr>
    </w:tbl>
    <w:p>
      <w:pPr>
        <w:spacing w:before="0" w:after="60"/>
      </w:pPr>
    </w:p>
    <w:p>
      <w:pPr>
        <w:pStyle w:val="Heading2"/>
        <w:keepNext/>
        <w:spacing w:before="220" w:after="80"/>
      </w:pPr>
      <w:r>
        <w:rPr>
          <w:rFonts w:ascii="Arial" w:hAnsi="Arial"/>
          <w:b/>
          <w:color w:val="4A777A"/>
          <w:sz w:val="24"/>
        </w:rPr>
        <w:t>6. Individual Alpha Peak Frequency (IAF) and Clinical Ratios</w:t>
      </w:r>
    </w:p>
    <w:p>
      <w:pPr>
        <w:spacing w:before="0" w:after="80" w:line="276" w:lineRule="auto"/>
      </w:pPr>
      <w:r>
        <w:rPr>
          <w:rFonts w:ascii="Calibri" w:hAnsi="Calibri"/>
          <w:color w:val="222222"/>
          <w:sz w:val="21"/>
        </w:rPr>
        <w:t>The patient's resonant alpha mode is identified by finding the exact frequency in the alpha interval where the PSD attains its maximum:</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IAF = Frequency_at_which_PSD_is_Maximum_in_Range [ 8.0 Hz &lt;= Frequency &lt;= 13.0 Hz ]</w:t>
            </w:r>
          </w:p>
          <w:p>
            <w:pPr>
              <w:spacing w:before="0" w:after="40"/>
              <w:jc w:val="right"/>
            </w:pPr>
            <w:r>
              <w:rPr>
                <w:rFonts w:ascii="Arial" w:hAnsi="Arial"/>
                <w:i/>
                <w:color w:val="777777"/>
                <w:sz w:val="17"/>
              </w:rPr>
              <w:t>[Formula 2.8: Individual Alpha Peak Frequency (IAF)]</w:t>
            </w:r>
          </w:p>
        </w:tc>
      </w:tr>
    </w:tbl>
    <w:p>
      <w:pPr>
        <w:spacing w:before="0" w:after="60"/>
      </w:pPr>
    </w:p>
    <w:p>
      <w:pPr>
        <w:spacing w:before="0" w:after="80" w:line="276" w:lineRule="auto"/>
      </w:pPr>
      <w:r>
        <w:rPr>
          <w:rFonts w:ascii="Calibri" w:hAnsi="Calibri"/>
          <w:color w:val="222222"/>
          <w:sz w:val="21"/>
        </w:rPr>
        <w:t>Key clinical ratios quantify thalamocortical slowing and sensory hyperexcitability:</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Theta_to_Alpha_Ratio (TAR) = Relative_Power(Theta) / (Relative_Power(Alpha) + 0.000001)</w:t>
            </w:r>
          </w:p>
          <w:p>
            <w:pPr>
              <w:spacing w:before="40" w:after="40"/>
              <w:jc w:val="center"/>
            </w:pPr>
            <w:r>
              <w:rPr>
                <w:rFonts w:ascii="Consolas" w:hAnsi="Consolas"/>
                <w:b/>
                <w:color w:val="1B365D"/>
                <w:sz w:val="20"/>
              </w:rPr>
              <w:t>Theta_to_Beta_Ratio (TBR) = Relative_Power(Theta) / (Relative_Power(Beta) + 0.000001)</w:t>
            </w:r>
          </w:p>
          <w:p>
            <w:pPr>
              <w:spacing w:before="40" w:after="40"/>
              <w:jc w:val="center"/>
            </w:pPr>
            <w:r>
              <w:rPr>
                <w:rFonts w:ascii="Consolas" w:hAnsi="Consolas"/>
                <w:b/>
                <w:color w:val="1B365D"/>
                <w:sz w:val="20"/>
              </w:rPr>
              <w:t>Alpha_Deficit = Maximum(0.0, 0.20 - Relative_Power(Alpha))</w:t>
            </w:r>
          </w:p>
          <w:p>
            <w:pPr>
              <w:spacing w:before="0" w:after="40"/>
              <w:jc w:val="right"/>
            </w:pPr>
            <w:r>
              <w:rPr>
                <w:rFonts w:ascii="Arial" w:hAnsi="Arial"/>
                <w:i/>
                <w:color w:val="777777"/>
                <w:sz w:val="17"/>
              </w:rPr>
              <w:t>[Formula 2.9: TAR, TBR, and Alpha Deficit]</w:t>
            </w:r>
          </w:p>
        </w:tc>
      </w:tr>
    </w:tbl>
    <w:p>
      <w:pPr>
        <w:spacing w:before="0" w:after="60"/>
      </w:pPr>
    </w:p>
    <w:p>
      <w:pPr>
        <w:pStyle w:val="ListBullet"/>
        <w:spacing w:before="0" w:after="60" w:line="276" w:lineRule="auto"/>
      </w:pPr>
      <w:r>
        <w:rPr>
          <w:rFonts w:ascii="Calibri" w:hAnsi="Calibri"/>
          <w:b/>
          <w:color w:val="1B365D"/>
          <w:sz w:val="21"/>
        </w:rPr>
        <w:t xml:space="preserve">0.000001 (1e-6): </w:t>
      </w:r>
      <w:r>
        <w:rPr>
          <w:rFonts w:ascii="Calibri" w:hAnsi="Calibri"/>
          <w:color w:val="222222"/>
          <w:sz w:val="21"/>
        </w:rPr>
        <w:t>A positive epsilon added to the denominator to prevent division by zero.</w:t>
      </w:r>
    </w:p>
    <w:p>
      <w:pPr>
        <w:pStyle w:val="ListBullet"/>
        <w:spacing w:before="0" w:after="60" w:line="276" w:lineRule="auto"/>
      </w:pPr>
      <w:r>
        <w:rPr>
          <w:rFonts w:ascii="Calibri" w:hAnsi="Calibri"/>
          <w:b/>
          <w:color w:val="1B365D"/>
          <w:sz w:val="21"/>
        </w:rPr>
        <w:t xml:space="preserve">0.20 (20%): </w:t>
      </w:r>
      <w:r>
        <w:rPr>
          <w:rFonts w:ascii="Calibri" w:hAnsi="Calibri"/>
          <w:color w:val="222222"/>
          <w:sz w:val="21"/>
        </w:rPr>
        <w:t>Normative physiological resting-state alpha baseline.</w:t>
      </w:r>
    </w:p>
    <w:p>
      <w:pPr>
        <w:pStyle w:val="Heading2"/>
        <w:keepNext/>
        <w:spacing w:before="220" w:after="80"/>
      </w:pPr>
      <w:r>
        <w:rPr>
          <w:rFonts w:ascii="Arial" w:hAnsi="Arial"/>
          <w:b/>
          <w:color w:val="4A777A"/>
          <w:sz w:val="24"/>
        </w:rPr>
        <w:t>7. Binaural Beat Acoustic Synthesis &amp; Envelope Smoothing</w:t>
      </w:r>
    </w:p>
    <w:p>
      <w:pPr>
        <w:spacing w:before="0" w:after="80" w:line="276" w:lineRule="auto"/>
      </w:pPr>
      <w:r>
        <w:rPr>
          <w:rFonts w:ascii="Calibri" w:hAnsi="Calibri"/>
          <w:color w:val="222222"/>
          <w:sz w:val="21"/>
        </w:rPr>
        <w:t>Dichotic pure sinusoids are centered symmetrically around carrier frequency F_c = 216.0 Hz:</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F_Left = F_c - (Beat_Frequency / 2.0) = 216.0 - (IAF / 2.0)</w:t>
            </w:r>
          </w:p>
          <w:p>
            <w:pPr>
              <w:spacing w:before="40" w:after="40"/>
              <w:jc w:val="center"/>
            </w:pPr>
            <w:r>
              <w:rPr>
                <w:rFonts w:ascii="Consolas" w:hAnsi="Consolas"/>
                <w:b/>
                <w:color w:val="1B365D"/>
                <w:sz w:val="20"/>
              </w:rPr>
              <w:t>F_Right = F_c + (Beat_Frequency / 2.0) = 216.0 + (IAF / 2.0)</w:t>
            </w:r>
          </w:p>
          <w:p>
            <w:pPr>
              <w:spacing w:before="40" w:after="40"/>
              <w:jc w:val="center"/>
            </w:pPr>
            <w:r>
              <w:rPr>
                <w:rFonts w:ascii="Consolas" w:hAnsi="Consolas"/>
                <w:b/>
                <w:color w:val="1B365D"/>
                <w:sz w:val="20"/>
              </w:rPr>
              <w:t>Envelope_Beat = | F_Right - F_Left | = IAF</w:t>
            </w:r>
          </w:p>
          <w:p>
            <w:pPr>
              <w:spacing w:before="0" w:after="40"/>
              <w:jc w:val="right"/>
            </w:pPr>
            <w:r>
              <w:rPr>
                <w:rFonts w:ascii="Arial" w:hAnsi="Arial"/>
                <w:i/>
                <w:color w:val="777777"/>
                <w:sz w:val="17"/>
              </w:rPr>
              <w:t>[Formula 2.10: Carrier and Dichotic Frequency Allocation]</w:t>
            </w:r>
          </w:p>
        </w:tc>
      </w:tr>
    </w:tbl>
    <w:p>
      <w:pPr>
        <w:spacing w:before="0" w:after="60"/>
      </w:pPr>
    </w:p>
    <w:p>
      <w:pPr>
        <w:spacing w:before="0" w:after="80" w:line="276" w:lineRule="auto"/>
      </w:pPr>
      <w:r>
        <w:rPr>
          <w:rFonts w:ascii="Calibri" w:hAnsi="Calibri"/>
          <w:color w:val="222222"/>
          <w:sz w:val="21"/>
        </w:rPr>
        <w:t>Continuous audio waveforms are computed with a squared half-cosine fade window of duration Fade_Time = 1.5 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Signal_Left(t) = Amplitude(t) * sin(2 * pi * F_Left * t)</w:t>
            </w:r>
          </w:p>
          <w:p>
            <w:pPr>
              <w:spacing w:before="40" w:after="40"/>
              <w:jc w:val="center"/>
            </w:pPr>
            <w:r>
              <w:rPr>
                <w:rFonts w:ascii="Consolas" w:hAnsi="Consolas"/>
                <w:b/>
                <w:color w:val="1B365D"/>
                <w:sz w:val="20"/>
              </w:rPr>
              <w:t>Signal_Right(t) = Amplitude(t) * sin(2 * pi * F_Right * t)</w:t>
            </w:r>
          </w:p>
          <w:p>
            <w:pPr>
              <w:spacing w:before="0" w:after="40"/>
              <w:jc w:val="right"/>
            </w:pPr>
            <w:r>
              <w:rPr>
                <w:rFonts w:ascii="Arial" w:hAnsi="Arial"/>
                <w:i/>
                <w:color w:val="777777"/>
                <w:sz w:val="17"/>
              </w:rPr>
              <w:t>[Formula 2.11: Time-Domain Audio Waveforms]</w:t>
            </w:r>
          </w:p>
        </w:tc>
      </w:tr>
    </w:tbl>
    <w:p>
      <w:pPr>
        <w:spacing w:before="0" w:after="60"/>
      </w:pP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For 0 &lt;= t &lt; Fade_Time:                  Amplitude(t) = A_0 * sin^2( (pi * t) / (2 * Fade_Time) )</w:t>
            </w:r>
          </w:p>
          <w:p>
            <w:pPr>
              <w:spacing w:before="40" w:after="40"/>
              <w:jc w:val="center"/>
            </w:pPr>
            <w:r>
              <w:rPr>
                <w:rFonts w:ascii="Consolas" w:hAnsi="Consolas"/>
                <w:b/>
                <w:color w:val="1B365D"/>
                <w:sz w:val="20"/>
              </w:rPr>
              <w:t>For Fade_Time &lt;= t &lt;= Duration - Fade:   Amplitude(t) = A_0</w:t>
            </w:r>
          </w:p>
          <w:p>
            <w:pPr>
              <w:spacing w:before="40" w:after="40"/>
              <w:jc w:val="center"/>
            </w:pPr>
            <w:r>
              <w:rPr>
                <w:rFonts w:ascii="Consolas" w:hAnsi="Consolas"/>
                <w:b/>
                <w:color w:val="1B365D"/>
                <w:sz w:val="20"/>
              </w:rPr>
              <w:t>For Duration - Fade &lt; t &lt;= Duration:    Amplitude(t) = A_0 * sin^2( (pi * (Duration - t)) / (2 * Fade_Time) )</w:t>
            </w:r>
          </w:p>
          <w:p>
            <w:pPr>
              <w:spacing w:before="0" w:after="40"/>
              <w:jc w:val="right"/>
            </w:pPr>
            <w:r>
              <w:rPr>
                <w:rFonts w:ascii="Arial" w:hAnsi="Arial"/>
                <w:i/>
                <w:color w:val="777777"/>
                <w:sz w:val="17"/>
              </w:rPr>
              <w:t>[Formula 2.12: Squared Raised Half-Cosine Window]</w:t>
            </w:r>
          </w:p>
        </w:tc>
      </w:tr>
    </w:tbl>
    <w:p>
      <w:pPr>
        <w:spacing w:before="0" w:after="60"/>
      </w:pPr>
    </w:p>
    <w:p>
      <w:pPr>
        <w:pStyle w:val="Heading1"/>
        <w:keepNext/>
        <w:spacing w:before="280" w:after="120"/>
      </w:pPr>
      <w:r>
        <w:rPr>
          <w:rFonts w:ascii="Arial" w:hAnsi="Arial"/>
          <w:b/>
          <w:color w:val="1B365D"/>
          <w:sz w:val="28"/>
        </w:rPr>
        <w:t>Cell 3: Markdown - Section 3 Header (Environment Setup)</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Markdown (Section Navigation)</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Labels Section 3: 'Environment Setup &amp; Dependency Verification'.</w:t>
      </w:r>
    </w:p>
    <w:p>
      <w:pPr>
        <w:spacing w:before="0" w:after="80" w:line="276" w:lineRule="auto"/>
      </w:pPr>
      <w:r>
        <w:rPr>
          <w:rFonts w:ascii="Calibri" w:hAnsi="Calibri"/>
          <w:color w:val="222222"/>
          <w:sz w:val="21"/>
        </w:rPr>
        <w:t>What Happens in Cell 3: Signposts the execution of environment configuration and directory initialization.</w:t>
      </w:r>
    </w:p>
    <w:p>
      <w:pPr>
        <w:pStyle w:val="Heading1"/>
        <w:keepNext/>
        <w:spacing w:before="280" w:after="120"/>
      </w:pPr>
      <w:r>
        <w:rPr>
          <w:rFonts w:ascii="Arial" w:hAnsi="Arial"/>
          <w:b/>
          <w:color w:val="1B365D"/>
          <w:sz w:val="28"/>
        </w:rPr>
        <w:t>Cell 4: Code - Environment Setup &amp; Directory Initialization</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Code (Executable Python Runtime)</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Imports system libraries, configures publication-grade plotting aesthetics, and creates export directories.</w:t>
      </w:r>
    </w:p>
    <w:p>
      <w:pPr>
        <w:spacing w:before="0" w:after="80" w:line="276" w:lineRule="auto"/>
      </w:pPr>
      <w:r>
        <w:rPr>
          <w:rFonts w:ascii="Calibri" w:hAnsi="Calibri"/>
          <w:color w:val="222222"/>
          <w:sz w:val="21"/>
        </w:rPr>
        <w:t>What Happens in Cell 4:</w:t>
      </w:r>
    </w:p>
    <w:p>
      <w:pPr>
        <w:spacing w:before="0" w:after="80" w:line="276" w:lineRule="auto"/>
      </w:pPr>
      <w:r>
        <w:rPr>
          <w:rFonts w:ascii="Calibri" w:hAnsi="Calibri"/>
          <w:color w:val="222222"/>
          <w:sz w:val="21"/>
        </w:rPr>
        <w:t>This cell initializes all dependencies required by the pipeline:</w:t>
      </w:r>
    </w:p>
    <w:p>
      <w:pPr>
        <w:pStyle w:val="ListBullet"/>
        <w:spacing w:before="0" w:after="60" w:line="276" w:lineRule="auto"/>
      </w:pPr>
      <w:r>
        <w:rPr>
          <w:rFonts w:ascii="Calibri" w:hAnsi="Calibri"/>
          <w:b/>
          <w:color w:val="1B365D"/>
          <w:sz w:val="21"/>
        </w:rPr>
        <w:t xml:space="preserve">os, glob, math: </w:t>
      </w:r>
      <w:r>
        <w:rPr>
          <w:rFonts w:ascii="Calibri" w:hAnsi="Calibri"/>
          <w:color w:val="222222"/>
          <w:sz w:val="21"/>
        </w:rPr>
        <w:t>File system navigation, batch directory searching, and core mathematical operations.</w:t>
      </w:r>
    </w:p>
    <w:p>
      <w:pPr>
        <w:pStyle w:val="ListBullet"/>
        <w:spacing w:before="0" w:after="60" w:line="276" w:lineRule="auto"/>
      </w:pPr>
      <w:r>
        <w:rPr>
          <w:rFonts w:ascii="Calibri" w:hAnsi="Calibri"/>
          <w:b/>
          <w:color w:val="1B365D"/>
          <w:sz w:val="21"/>
        </w:rPr>
        <w:t xml:space="preserve">numpy: </w:t>
      </w:r>
      <w:r>
        <w:rPr>
          <w:rFonts w:ascii="Calibri" w:hAnsi="Calibri"/>
          <w:color w:val="222222"/>
          <w:sz w:val="21"/>
        </w:rPr>
        <w:t>High-performance vectorized N-dimensional array processing.</w:t>
      </w:r>
    </w:p>
    <w:p>
      <w:pPr>
        <w:pStyle w:val="ListBullet"/>
        <w:spacing w:before="0" w:after="60" w:line="276" w:lineRule="auto"/>
      </w:pPr>
      <w:r>
        <w:rPr>
          <w:rFonts w:ascii="Calibri" w:hAnsi="Calibri"/>
          <w:b/>
          <w:color w:val="1B365D"/>
          <w:sz w:val="21"/>
        </w:rPr>
        <w:t xml:space="preserve">matplotlib.pyplot: </w:t>
      </w:r>
      <w:r>
        <w:rPr>
          <w:rFonts w:ascii="Calibri" w:hAnsi="Calibri"/>
          <w:color w:val="222222"/>
          <w:sz w:val="21"/>
        </w:rPr>
        <w:t>Figure rendering, DPI setting (120 DPI), and clean visual styling.</w:t>
      </w:r>
    </w:p>
    <w:p>
      <w:pPr>
        <w:pStyle w:val="ListBullet"/>
        <w:spacing w:before="0" w:after="60" w:line="276" w:lineRule="auto"/>
      </w:pPr>
      <w:r>
        <w:rPr>
          <w:rFonts w:ascii="Calibri" w:hAnsi="Calibri"/>
          <w:b/>
          <w:color w:val="1B365D"/>
          <w:sz w:val="21"/>
        </w:rPr>
        <w:t xml:space="preserve">PIL (Image): </w:t>
      </w:r>
      <w:r>
        <w:rPr>
          <w:rFonts w:ascii="Calibri" w:hAnsi="Calibri"/>
          <w:color w:val="222222"/>
          <w:sz w:val="21"/>
        </w:rPr>
        <w:t>Fast image ingestion and bilinear resizing.</w:t>
      </w:r>
    </w:p>
    <w:p>
      <w:pPr>
        <w:pStyle w:val="ListBullet"/>
        <w:spacing w:before="0" w:after="60" w:line="276" w:lineRule="auto"/>
      </w:pPr>
      <w:r>
        <w:rPr>
          <w:rFonts w:ascii="Calibri" w:hAnsi="Calibri"/>
          <w:b/>
          <w:color w:val="1B365D"/>
          <w:sz w:val="21"/>
        </w:rPr>
        <w:t xml:space="preserve">scipy.io.wavfile: </w:t>
      </w:r>
      <w:r>
        <w:rPr>
          <w:rFonts w:ascii="Calibri" w:hAnsi="Calibri"/>
          <w:color w:val="222222"/>
          <w:sz w:val="21"/>
        </w:rPr>
        <w:t>Standard 16-bit uncompressed WAV file encoding.</w:t>
      </w:r>
    </w:p>
    <w:p>
      <w:pPr>
        <w:pStyle w:val="ListBullet"/>
        <w:spacing w:before="0" w:after="60" w:line="276" w:lineRule="auto"/>
      </w:pPr>
      <w:r>
        <w:rPr>
          <w:rFonts w:ascii="Calibri" w:hAnsi="Calibri"/>
          <w:b/>
          <w:color w:val="1B365D"/>
          <w:sz w:val="21"/>
        </w:rPr>
        <w:t xml:space="preserve">IPython.display (ipd): </w:t>
      </w:r>
      <w:r>
        <w:rPr>
          <w:rFonts w:ascii="Calibri" w:hAnsi="Calibri"/>
          <w:color w:val="222222"/>
          <w:sz w:val="21"/>
        </w:rPr>
        <w:t>Direct in-notebook interactive audio playback.</w:t>
      </w:r>
    </w:p>
    <w:p>
      <w:pPr>
        <w:spacing w:before="0" w:after="80" w:line="276" w:lineRule="auto"/>
      </w:pPr>
      <w:r>
        <w:rPr>
          <w:rFonts w:ascii="Calibri" w:hAnsi="Calibri"/>
          <w:color w:val="222222"/>
          <w:sz w:val="21"/>
        </w:rPr>
        <w:t>It also verifies the creation of the output folder 'audio_prescriptions/' using os.makedirs(..., exist_ok=True) and prints a system confirmation.</w:t>
      </w:r>
    </w:p>
    <w:tbl>
      <w:tblPr>
        <w:tblW w:type="auto" w:w="0"/>
        <w:jc w:val="center"/>
        <w:tblLook w:firstColumn="1" w:firstRow="1" w:lastColumn="0" w:lastRow="0" w:noHBand="0" w:noVBand="1" w:val="04A0"/>
      </w:tblPr>
      <w:tblGrid>
        <w:gridCol w:w="9360"/>
      </w:tblGrid>
      <w:tr>
        <w:tc>
          <w:tcPr>
            <w:tcW w:type="dxa" w:w="9360"/>
            <w:shd w:fill="F4F6F9"/>
            <w:tcBorders>
              <w:left w:val="single" w:sz="24" w:space="0" w:color="4A777A"/>
              <w:top w:val="none"/>
              <w:right w:val="none"/>
              <w:bottom w:val="none"/>
            </w:tcBorders>
            <w:tcMar>
              <w:top w:w="120" w:type="dxa"/>
              <w:bottom w:w="120" w:type="dxa"/>
              <w:left w:w="180" w:type="dxa"/>
              <w:right w:w="180" w:type="dxa"/>
            </w:tcMar>
          </w:tcPr>
          <w:p>
            <w:pPr>
              <w:spacing w:before="40" w:after="40" w:line="276" w:lineRule="auto"/>
            </w:pPr>
            <w:r>
              <w:rPr>
                <w:rFonts w:ascii="Arial" w:hAnsi="Arial"/>
                <w:b/>
                <w:color w:val="1B365D"/>
                <w:sz w:val="20"/>
              </w:rPr>
              <w:t xml:space="preserve">ENVIRONMENT STANDARD: </w:t>
            </w:r>
            <w:r>
              <w:rPr>
                <w:rFonts w:ascii="Calibri" w:hAnsi="Calibri"/>
                <w:i/>
                <w:color w:val="333333"/>
                <w:sz w:val="20"/>
              </w:rPr>
              <w:t>Configuring matplotlib to 120 DPI and specifying 'DejaVu Sans' guarantees that generated diagnostic figures maintain clinical publishing clarity across all operating systems.</w:t>
            </w:r>
          </w:p>
        </w:tc>
      </w:tr>
    </w:tbl>
    <w:p>
      <w:pPr>
        <w:spacing w:before="0" w:after="60"/>
      </w:pPr>
    </w:p>
    <w:p>
      <w:pPr>
        <w:pStyle w:val="Heading1"/>
        <w:keepNext/>
        <w:spacing w:before="280" w:after="120"/>
      </w:pPr>
      <w:r>
        <w:rPr>
          <w:rFonts w:ascii="Arial" w:hAnsi="Arial"/>
          <w:b/>
          <w:color w:val="1B365D"/>
          <w:sz w:val="28"/>
        </w:rPr>
        <w:t>Cell 5: Markdown - Section 4 Header (Spectrogram Inversion Engine)</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Markdown (Section Navigation)</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Introduces Section 4: 'Spectrogram Inversion &amp; Band-Power Extraction Engine'.</w:t>
      </w:r>
    </w:p>
    <w:p>
      <w:pPr>
        <w:spacing w:before="0" w:after="80" w:line="276" w:lineRule="auto"/>
      </w:pPr>
      <w:r>
        <w:rPr>
          <w:rFonts w:ascii="Calibri" w:hAnsi="Calibri"/>
          <w:color w:val="222222"/>
          <w:sz w:val="21"/>
        </w:rPr>
        <w:t>What Happens in Cell 5: Signposts the core signal processing function that converts RGB spectrogram pixels into quantitative electrophysiological biomarkers.</w:t>
      </w:r>
    </w:p>
    <w:p>
      <w:pPr>
        <w:pStyle w:val="Heading1"/>
        <w:keepNext/>
        <w:spacing w:before="280" w:after="120"/>
      </w:pPr>
      <w:r>
        <w:rPr>
          <w:rFonts w:ascii="Arial" w:hAnsi="Arial"/>
          <w:b/>
          <w:color w:val="1B365D"/>
          <w:sz w:val="28"/>
        </w:rPr>
        <w:t>Cell 6: Code - Spectrogram Inversion &amp; Feature Extraction Engine</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Code (Core Algorithmic Engine)</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Defines the 256-color Viridis Look-Up Table (LUT), canonical band dictionaries, and the primary analysis function analyze_eeg_spectrogram().</w:t>
      </w:r>
    </w:p>
    <w:p>
      <w:pPr>
        <w:spacing w:before="0" w:after="80" w:line="276" w:lineRule="auto"/>
      </w:pPr>
      <w:r>
        <w:rPr>
          <w:rFonts w:ascii="Calibri" w:hAnsi="Calibri"/>
          <w:color w:val="222222"/>
          <w:sz w:val="21"/>
        </w:rPr>
        <w:t>What Happens in Cell 6:</w:t>
      </w:r>
    </w:p>
    <w:p>
      <w:pPr>
        <w:spacing w:before="0" w:after="80" w:line="276" w:lineRule="auto"/>
      </w:pPr>
      <w:r>
        <w:rPr>
          <w:rFonts w:ascii="Calibri" w:hAnsi="Calibri"/>
          <w:color w:val="222222"/>
          <w:sz w:val="21"/>
        </w:rPr>
        <w:t>Cell 6 is the mathematical workhorse of the extraction pipeline. It implements the following operational pipeline:</w:t>
      </w:r>
    </w:p>
    <w:p>
      <w:pPr>
        <w:pStyle w:val="ListBullet"/>
        <w:spacing w:before="0" w:after="60" w:line="276" w:lineRule="auto"/>
      </w:pPr>
      <w:r>
        <w:rPr>
          <w:rFonts w:ascii="Calibri" w:hAnsi="Calibri"/>
          <w:b/>
          <w:color w:val="1B365D"/>
          <w:sz w:val="21"/>
        </w:rPr>
        <w:t xml:space="preserve">LUT Precomputation: </w:t>
      </w:r>
      <w:r>
        <w:rPr>
          <w:rFonts w:ascii="Calibri" w:hAnsi="Calibri"/>
          <w:color w:val="222222"/>
          <w:sz w:val="21"/>
        </w:rPr>
        <w:t>Computes VIRIDIS_LUT as a (256, 3) float32 matrix holding the RGB values of the Viridis color trajectory sampled at 256 evenly spaced points.</w:t>
      </w:r>
    </w:p>
    <w:p>
      <w:pPr>
        <w:pStyle w:val="ListBullet"/>
        <w:spacing w:before="0" w:after="60" w:line="276" w:lineRule="auto"/>
      </w:pPr>
      <w:r>
        <w:rPr>
          <w:rFonts w:ascii="Calibri" w:hAnsi="Calibri"/>
          <w:b/>
          <w:color w:val="1B365D"/>
          <w:sz w:val="21"/>
        </w:rPr>
        <w:t xml:space="preserve">Image Ingestion &amp; Resizing: </w:t>
      </w:r>
      <w:r>
        <w:rPr>
          <w:rFonts w:ascii="Calibri" w:hAnsi="Calibri"/>
          <w:color w:val="222222"/>
          <w:sz w:val="21"/>
        </w:rPr>
        <w:t>Loads the PNG image, converts it to RGB mode, and bilinearly downsamples it to target_height=400 by target_width=600 pixels. This accelerates nearest-neighbor color distance calculation while preserving full spectral resolution.</w:t>
      </w:r>
    </w:p>
    <w:p>
      <w:pPr>
        <w:pStyle w:val="ListBullet"/>
        <w:spacing w:before="0" w:after="60" w:line="276" w:lineRule="auto"/>
      </w:pPr>
      <w:r>
        <w:rPr>
          <w:rFonts w:ascii="Calibri" w:hAnsi="Calibri"/>
          <w:b/>
          <w:color w:val="1B365D"/>
          <w:sz w:val="21"/>
        </w:rPr>
        <w:t xml:space="preserve">Vectorized Color Matching: </w:t>
      </w:r>
      <w:r>
        <w:rPr>
          <w:rFonts w:ascii="Calibri" w:hAnsi="Calibri"/>
          <w:color w:val="222222"/>
          <w:sz w:val="21"/>
        </w:rPr>
        <w:t>Leverages NumPy 4D array broadcasting to compute the squared Euclidean distance between every pixel and all 256 LUT entries simultaneously without explicit Python loops: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diff = img_arr[:, :, None, :] - VIRIDIS_LUT[None, None, :, :]</w:t>
            </w:r>
          </w:p>
          <w:p>
            <w:pPr>
              <w:spacing w:before="40" w:after="40"/>
              <w:jc w:val="center"/>
            </w:pPr>
            <w:r>
              <w:rPr>
                <w:rFonts w:ascii="Consolas" w:hAnsi="Consolas"/>
                <w:b/>
                <w:color w:val="1B365D"/>
                <w:sz w:val="20"/>
              </w:rPr>
              <w:t>dist_sq = Sum_over_color_channels( diff^2 )</w:t>
            </w:r>
          </w:p>
          <w:p>
            <w:pPr>
              <w:spacing w:before="40" w:after="40"/>
              <w:jc w:val="center"/>
            </w:pPr>
            <w:r>
              <w:rPr>
                <w:rFonts w:ascii="Consolas" w:hAnsi="Consolas"/>
                <w:b/>
                <w:color w:val="1B365D"/>
                <w:sz w:val="20"/>
              </w:rPr>
              <w:t>nearest_idx = ArgMin_over_LUT( dist_sq )</w:t>
            </w:r>
          </w:p>
          <w:p>
            <w:pPr>
              <w:spacing w:before="0" w:after="40"/>
              <w:jc w:val="right"/>
            </w:pPr>
            <w:r>
              <w:rPr>
                <w:rFonts w:ascii="Arial" w:hAnsi="Arial"/>
                <w:i/>
                <w:color w:val="777777"/>
                <w:sz w:val="17"/>
              </w:rPr>
              <w:t>[Formula 6.1: Vectorized Color Matching in NumPy]</w:t>
            </w:r>
          </w:p>
        </w:tc>
      </w:tr>
    </w:tbl>
    <w:p>
      <w:pPr>
        <w:spacing w:before="0" w:after="60"/>
      </w:pPr>
    </w:p>
    <w:p>
      <w:pPr>
        <w:pStyle w:val="ListBullet"/>
        <w:spacing w:before="0" w:after="60" w:line="276" w:lineRule="auto"/>
      </w:pPr>
      <w:r>
        <w:rPr>
          <w:rFonts w:ascii="Calibri" w:hAnsi="Calibri"/>
          <w:b/>
          <w:color w:val="1B365D"/>
          <w:sz w:val="21"/>
        </w:rPr>
        <w:t xml:space="preserve">Decibel &amp; Linear Power Recovery: </w:t>
      </w:r>
      <w:r>
        <w:rPr>
          <w:rFonts w:ascii="Calibri" w:hAnsi="Calibri"/>
          <w:color w:val="222222"/>
          <w:sz w:val="21"/>
        </w:rPr>
        <w:t>Maps nearest_idx to normalized intensity (0.0 to 1.0), computes Power_dB = -10.0 + norm_intensity * 40.0, and inverts to Linear Power = 10^(Power_dB / 10.0).</w:t>
      </w:r>
    </w:p>
    <w:p>
      <w:pPr>
        <w:pStyle w:val="ListBullet"/>
        <w:spacing w:before="0" w:after="60" w:line="276" w:lineRule="auto"/>
      </w:pPr>
      <w:r>
        <w:rPr>
          <w:rFonts w:ascii="Calibri" w:hAnsi="Calibri"/>
          <w:b/>
          <w:color w:val="1B365D"/>
          <w:sz w:val="21"/>
        </w:rPr>
        <w:t xml:space="preserve">Frequency Mapping &amp; PSD Averaging: </w:t>
      </w:r>
      <w:r>
        <w:rPr>
          <w:rFonts w:ascii="Calibri" w:hAnsi="Calibri"/>
          <w:color w:val="222222"/>
          <w:sz w:val="21"/>
        </w:rPr>
        <w:t>Constructs a linear frequency vector from 50.0 Hz down to 1.0 Hz across 400 rows, then computes PSD = mean(linear_power, axis=1) across all 600 time columns.</w:t>
      </w:r>
    </w:p>
    <w:p>
      <w:pPr>
        <w:pStyle w:val="ListBullet"/>
        <w:spacing w:before="0" w:after="60" w:line="276" w:lineRule="auto"/>
      </w:pPr>
      <w:r>
        <w:rPr>
          <w:rFonts w:ascii="Calibri" w:hAnsi="Calibri"/>
          <w:b/>
          <w:color w:val="1B365D"/>
          <w:sz w:val="21"/>
        </w:rPr>
        <w:t xml:space="preserve">Band Power &amp; Normalization: </w:t>
      </w:r>
      <w:r>
        <w:rPr>
          <w:rFonts w:ascii="Calibri" w:hAnsi="Calibri"/>
          <w:color w:val="222222"/>
          <w:sz w:val="21"/>
        </w:rPr>
        <w:t>Applies Boolean frequency masks for Delta, Theta, Alpha, Beta, and Gamma, computes mean PSD per band, and divides by total power to produce relative proportions summing to 1.0.</w:t>
      </w:r>
    </w:p>
    <w:p>
      <w:pPr>
        <w:pStyle w:val="ListBullet"/>
        <w:spacing w:before="0" w:after="60" w:line="276" w:lineRule="auto"/>
      </w:pPr>
      <w:r>
        <w:rPr>
          <w:rFonts w:ascii="Calibri" w:hAnsi="Calibri"/>
          <w:b/>
          <w:color w:val="1B365D"/>
          <w:sz w:val="21"/>
        </w:rPr>
        <w:t xml:space="preserve">IAF Peak Localization: </w:t>
      </w:r>
      <w:r>
        <w:rPr>
          <w:rFonts w:ascii="Calibri" w:hAnsi="Calibri"/>
          <w:color w:val="222222"/>
          <w:sz w:val="21"/>
        </w:rPr>
        <w:t>Masks the PSD to the alpha band (8.0 to 13.0 Hz) and selects the frequency corresponding to argmax(PSD_alpha).</w:t>
      </w:r>
    </w:p>
    <w:p>
      <w:pPr>
        <w:pStyle w:val="ListBullet"/>
        <w:spacing w:before="0" w:after="60" w:line="276" w:lineRule="auto"/>
      </w:pPr>
      <w:r>
        <w:rPr>
          <w:rFonts w:ascii="Calibri" w:hAnsi="Calibri"/>
          <w:b/>
          <w:color w:val="1B365D"/>
          <w:sz w:val="21"/>
        </w:rPr>
        <w:t xml:space="preserve">Clinical Ratio Calculation: </w:t>
      </w:r>
      <w:r>
        <w:rPr>
          <w:rFonts w:ascii="Calibri" w:hAnsi="Calibri"/>
          <w:color w:val="222222"/>
          <w:sz w:val="21"/>
        </w:rPr>
        <w:t>Calculates TAR = Theta / Alpha, TBR = Theta / Beta, and Alpha Deficit = max(0.0, 0.20 - Alpha). Returns all extracted metrics in a structured dictionary.</w:t>
      </w:r>
    </w:p>
    <w:tbl>
      <w:tblPr>
        <w:tblW w:type="auto" w:w="0"/>
        <w:jc w:val="center"/>
        <w:tblLook w:firstColumn="1" w:firstRow="1" w:lastColumn="0" w:lastRow="0" w:noHBand="0" w:noVBand="1" w:val="04A0"/>
      </w:tblPr>
      <w:tblGrid>
        <w:gridCol w:w="9360"/>
      </w:tblGrid>
      <w:tr>
        <w:tc>
          <w:tcPr>
            <w:tcW w:type="dxa" w:w="9360"/>
            <w:shd w:fill="F4F6F9"/>
            <w:tcBorders>
              <w:left w:val="single" w:sz="24" w:space="0" w:color="4A777A"/>
              <w:top w:val="none"/>
              <w:right w:val="none"/>
              <w:bottom w:val="none"/>
            </w:tcBorders>
            <w:tcMar>
              <w:top w:w="120" w:type="dxa"/>
              <w:bottom w:w="120" w:type="dxa"/>
              <w:left w:w="180" w:type="dxa"/>
              <w:right w:w="180" w:type="dxa"/>
            </w:tcMar>
          </w:tcPr>
          <w:p>
            <w:pPr>
              <w:spacing w:before="40" w:after="40" w:line="276" w:lineRule="auto"/>
            </w:pPr>
            <w:r>
              <w:rPr>
                <w:rFonts w:ascii="Arial" w:hAnsi="Arial"/>
                <w:b/>
                <w:color w:val="1B365D"/>
                <w:sz w:val="20"/>
              </w:rPr>
              <w:t xml:space="preserve">COMPUTATIONAL EFFICIENCY: </w:t>
            </w:r>
            <w:r>
              <w:rPr>
                <w:rFonts w:ascii="Calibri" w:hAnsi="Calibri"/>
                <w:i/>
                <w:color w:val="333333"/>
                <w:sz w:val="20"/>
              </w:rPr>
              <w:t>Vectorizing the colormap matching allows 240,000 pixels (400 x 600) to be matched against 256 color vectors in under 0.15 seconds, making real-time clinical analysis feasible.</w:t>
            </w:r>
          </w:p>
        </w:tc>
      </w:tr>
    </w:tbl>
    <w:p>
      <w:pPr>
        <w:spacing w:before="0" w:after="60"/>
      </w:pPr>
    </w:p>
    <w:p>
      <w:pPr>
        <w:pStyle w:val="Heading1"/>
        <w:keepNext/>
        <w:spacing w:before="280" w:after="120"/>
      </w:pPr>
      <w:r>
        <w:rPr>
          <w:rFonts w:ascii="Arial" w:hAnsi="Arial"/>
          <w:b/>
          <w:color w:val="1B365D"/>
          <w:sz w:val="28"/>
        </w:rPr>
        <w:t>Cell 7: Markdown - Section 5 Header (Audio Synthesis Engine)</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Markdown (Section Navigation)</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Introduces Section 5: 'Binaural Beat Audio Synthesis Engine'.</w:t>
      </w:r>
    </w:p>
    <w:p>
      <w:pPr>
        <w:spacing w:before="0" w:after="80" w:line="276" w:lineRule="auto"/>
      </w:pPr>
      <w:r>
        <w:rPr>
          <w:rFonts w:ascii="Calibri" w:hAnsi="Calibri"/>
          <w:color w:val="222222"/>
          <w:sz w:val="21"/>
        </w:rPr>
        <w:t>What Happens in Cell 7: Signposts the acoustic generator that renders binaural beat audio files according to neurotechnological specifications.</w:t>
      </w:r>
    </w:p>
    <w:p>
      <w:pPr>
        <w:pStyle w:val="Heading1"/>
        <w:keepNext/>
        <w:spacing w:before="280" w:after="120"/>
      </w:pPr>
      <w:r>
        <w:rPr>
          <w:rFonts w:ascii="Arial" w:hAnsi="Arial"/>
          <w:b/>
          <w:color w:val="1B365D"/>
          <w:sz w:val="28"/>
        </w:rPr>
        <w:t>Cell 8: Code - Binaural Beat Audio Synthesis Engine</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Code (Acoustic Generator)</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Defines synthesize_binaural_prescription() to generate 16-bit 44.1 kHz stereo WAV files with psychoacoustic smoothing envelopes.</w:t>
      </w:r>
    </w:p>
    <w:p>
      <w:pPr>
        <w:spacing w:before="0" w:after="80" w:line="276" w:lineRule="auto"/>
      </w:pPr>
      <w:r>
        <w:rPr>
          <w:rFonts w:ascii="Calibri" w:hAnsi="Calibri"/>
          <w:color w:val="222222"/>
          <w:sz w:val="21"/>
        </w:rPr>
        <w:t>What Happens in Cell 8:</w:t>
      </w:r>
    </w:p>
    <w:p>
      <w:pPr>
        <w:spacing w:before="0" w:after="80" w:line="276" w:lineRule="auto"/>
      </w:pPr>
      <w:r>
        <w:rPr>
          <w:rFonts w:ascii="Calibri" w:hAnsi="Calibri"/>
          <w:color w:val="222222"/>
          <w:sz w:val="21"/>
        </w:rPr>
        <w:t>Cell 8 implements the complete sound generation pipeline:</w:t>
      </w:r>
    </w:p>
    <w:p>
      <w:pPr>
        <w:pStyle w:val="ListBullet"/>
        <w:spacing w:before="0" w:after="60" w:line="276" w:lineRule="auto"/>
      </w:pPr>
      <w:r>
        <w:rPr>
          <w:rFonts w:ascii="Calibri" w:hAnsi="Calibri"/>
          <w:b/>
          <w:color w:val="1B365D"/>
          <w:sz w:val="21"/>
        </w:rPr>
        <w:t xml:space="preserve">Frequency Splitting: </w:t>
      </w:r>
      <w:r>
        <w:rPr>
          <w:rFonts w:ascii="Calibri" w:hAnsi="Calibri"/>
          <w:color w:val="222222"/>
          <w:sz w:val="21"/>
        </w:rPr>
        <w:t>Given beat frequency f_beat (patient IAF) and carrier f_carrier = 216.0 Hz, calculates Left Ear Frequency f_L = 216.0 - (f_beat / 2) and Right Ear Frequency f_R = 216.0 + (f_beat / 2).</w:t>
      </w:r>
    </w:p>
    <w:p>
      <w:pPr>
        <w:pStyle w:val="ListBullet"/>
        <w:spacing w:before="0" w:after="60" w:line="276" w:lineRule="auto"/>
      </w:pPr>
      <w:r>
        <w:rPr>
          <w:rFonts w:ascii="Calibri" w:hAnsi="Calibri"/>
          <w:b/>
          <w:color w:val="1B365D"/>
          <w:sz w:val="21"/>
        </w:rPr>
        <w:t xml:space="preserve">Time Vector Generation: </w:t>
      </w:r>
      <w:r>
        <w:rPr>
          <w:rFonts w:ascii="Calibri" w:hAnsi="Calibri"/>
          <w:color w:val="222222"/>
          <w:sz w:val="21"/>
        </w:rPr>
        <w:t>Creates total_samples = sample_rate * duration time points (e.g., 44,100 * 30 = 1,323,000 samples) spaced at dt = 1 / 44,100 s.</w:t>
      </w:r>
    </w:p>
    <w:p>
      <w:pPr>
        <w:pStyle w:val="ListBullet"/>
        <w:spacing w:before="0" w:after="60" w:line="276" w:lineRule="auto"/>
      </w:pPr>
      <w:r>
        <w:rPr>
          <w:rFonts w:ascii="Calibri" w:hAnsi="Calibri"/>
          <w:b/>
          <w:color w:val="1B365D"/>
          <w:sz w:val="21"/>
        </w:rPr>
        <w:t xml:space="preserve">Sinusoidal Synthesis: </w:t>
      </w:r>
      <w:r>
        <w:rPr>
          <w:rFonts w:ascii="Calibri" w:hAnsi="Calibri"/>
          <w:color w:val="222222"/>
          <w:sz w:val="21"/>
        </w:rPr>
        <w:t>Generates raw left and right tones: sig_L = amplitude * sin(2 * pi * f_L * t) and sig_R = amplitude * sin(2 * pi * f_R * t). Amplitude is set to 0.75 (-2.5 dBFS) to prevent digital clipping.</w:t>
      </w:r>
    </w:p>
    <w:p>
      <w:pPr>
        <w:pStyle w:val="ListBullet"/>
        <w:spacing w:before="0" w:after="60" w:line="276" w:lineRule="auto"/>
      </w:pPr>
      <w:r>
        <w:rPr>
          <w:rFonts w:ascii="Calibri" w:hAnsi="Calibri"/>
          <w:b/>
          <w:color w:val="1B365D"/>
          <w:sz w:val="21"/>
        </w:rPr>
        <w:t xml:space="preserve">Envelope Windowing: </w:t>
      </w:r>
      <w:r>
        <w:rPr>
          <w:rFonts w:ascii="Calibri" w:hAnsi="Calibri"/>
          <w:color w:val="222222"/>
          <w:sz w:val="21"/>
        </w:rPr>
        <w:t>Applies a squared sine ramp over fade_duration (e.g., 2.0 s, capped at total_samples // 4):</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80" w:type="dxa"/>
              <w:right w:w="180" w:type="dxa"/>
            </w:tcMar>
            <w:tcBorders>
              <w:left w:val="single" w:sz="18" w:space="0" w:color="1B365D"/>
              <w:top w:val="single" w:sz="4" w:space="0" w:color="D3D3D3"/>
              <w:right w:val="single" w:sz="4" w:space="0" w:color="D3D3D3"/>
              <w:bottom w:val="single" w:sz="4" w:space="0" w:color="D3D3D3"/>
            </w:tcBorders>
          </w:tcPr>
          <w:p>
            <w:pPr>
              <w:spacing w:before="40" w:after="40"/>
              <w:jc w:val="center"/>
            </w:pPr>
            <w:r>
              <w:rPr>
                <w:rFonts w:ascii="Consolas" w:hAnsi="Consolas"/>
                <w:b/>
                <w:color w:val="1B365D"/>
                <w:sz w:val="20"/>
              </w:rPr>
              <w:t>ramp = sin( linspace(0, pi / 2, fade_samples) ) ^ 2</w:t>
            </w:r>
          </w:p>
          <w:p>
            <w:pPr>
              <w:spacing w:before="40" w:after="40"/>
              <w:jc w:val="center"/>
            </w:pPr>
            <w:r>
              <w:rPr>
                <w:rFonts w:ascii="Consolas" w:hAnsi="Consolas"/>
                <w:b/>
                <w:color w:val="1B365D"/>
                <w:sz w:val="20"/>
              </w:rPr>
              <w:t>envelope[0 : fade_samples] = ramp</w:t>
            </w:r>
          </w:p>
          <w:p>
            <w:pPr>
              <w:spacing w:before="40" w:after="40"/>
              <w:jc w:val="center"/>
            </w:pPr>
            <w:r>
              <w:rPr>
                <w:rFonts w:ascii="Consolas" w:hAnsi="Consolas"/>
                <w:b/>
                <w:color w:val="1B365D"/>
                <w:sz w:val="20"/>
              </w:rPr>
              <w:t>envelope[total_samples - fade_samples : total_samples] = ramp_reversed</w:t>
            </w:r>
          </w:p>
          <w:p>
            <w:pPr>
              <w:spacing w:before="0" w:after="40"/>
              <w:jc w:val="right"/>
            </w:pPr>
            <w:r>
              <w:rPr>
                <w:rFonts w:ascii="Arial" w:hAnsi="Arial"/>
                <w:i/>
                <w:color w:val="777777"/>
                <w:sz w:val="17"/>
              </w:rPr>
              <w:t>[Formula 8.1: Window Implementation in Python]</w:t>
            </w:r>
          </w:p>
        </w:tc>
      </w:tr>
    </w:tbl>
    <w:p>
      <w:pPr>
        <w:spacing w:before="0" w:after="60"/>
      </w:pPr>
    </w:p>
    <w:p>
      <w:pPr>
        <w:pStyle w:val="ListBullet"/>
        <w:spacing w:before="0" w:after="60" w:line="276" w:lineRule="auto"/>
      </w:pPr>
      <w:r>
        <w:rPr>
          <w:rFonts w:ascii="Calibri" w:hAnsi="Calibri"/>
          <w:b/>
          <w:color w:val="1B365D"/>
          <w:sz w:val="21"/>
        </w:rPr>
        <w:t xml:space="preserve">16-Bit PCM Quantization: </w:t>
      </w:r>
      <w:r>
        <w:rPr>
          <w:rFonts w:ascii="Calibri" w:hAnsi="Calibri"/>
          <w:color w:val="222222"/>
          <w:sz w:val="21"/>
        </w:rPr>
        <w:t>Scales stereo float signals by 32767.0, clamps values to [-32768, 32767], converts to int16, and writes to disk via scipy.io.wavfile.write().</w:t>
      </w:r>
    </w:p>
    <w:tbl>
      <w:tblPr>
        <w:tblW w:type="auto" w:w="0"/>
        <w:jc w:val="center"/>
        <w:tblLook w:firstColumn="1" w:firstRow="1" w:lastColumn="0" w:lastRow="0" w:noHBand="0" w:noVBand="1" w:val="04A0"/>
      </w:tblPr>
      <w:tblGrid>
        <w:gridCol w:w="9360"/>
      </w:tblGrid>
      <w:tr>
        <w:tc>
          <w:tcPr>
            <w:tcW w:type="dxa" w:w="9360"/>
            <w:shd w:fill="F4F6F9"/>
            <w:tcBorders>
              <w:left w:val="single" w:sz="24" w:space="0" w:color="4A777A"/>
              <w:top w:val="none"/>
              <w:right w:val="none"/>
              <w:bottom w:val="none"/>
            </w:tcBorders>
            <w:tcMar>
              <w:top w:w="120" w:type="dxa"/>
              <w:bottom w:w="120" w:type="dxa"/>
              <w:left w:w="180" w:type="dxa"/>
              <w:right w:w="180" w:type="dxa"/>
            </w:tcMar>
          </w:tcPr>
          <w:p>
            <w:pPr>
              <w:spacing w:before="40" w:after="40" w:line="276" w:lineRule="auto"/>
            </w:pPr>
            <w:r>
              <w:rPr>
                <w:rFonts w:ascii="Arial" w:hAnsi="Arial"/>
                <w:b/>
                <w:color w:val="1B365D"/>
                <w:sz w:val="20"/>
              </w:rPr>
              <w:t xml:space="preserve">PSYCHOACOUSTIC SAFETY: </w:t>
            </w:r>
            <w:r>
              <w:rPr>
                <w:rFonts w:ascii="Calibri" w:hAnsi="Calibri"/>
                <w:i/>
                <w:color w:val="333333"/>
                <w:sz w:val="20"/>
              </w:rPr>
              <w:t>Using a squared half-cosine envelope guarantees zero instantaneous derivative at onset (t=0) and offset (t=Duration), completely eliminating broadband acoustic transient clicks that aggravate phonophobic migraineurs.</w:t>
            </w:r>
          </w:p>
        </w:tc>
      </w:tr>
    </w:tbl>
    <w:p>
      <w:pPr>
        <w:spacing w:before="0" w:after="60"/>
      </w:pPr>
    </w:p>
    <w:p>
      <w:pPr>
        <w:pStyle w:val="Heading1"/>
        <w:keepNext/>
        <w:spacing w:before="280" w:after="120"/>
      </w:pPr>
      <w:r>
        <w:rPr>
          <w:rFonts w:ascii="Arial" w:hAnsi="Arial"/>
          <w:b/>
          <w:color w:val="1B365D"/>
          <w:sz w:val="28"/>
        </w:rPr>
        <w:t>Cell 9: Markdown - Section 6 Header (Single Patient Case Study)</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Markdown (Case Study Orientation)</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Introduces Section 6: 'Single Patient Case Study: Personalized Treatment Pipeline'.</w:t>
      </w:r>
    </w:p>
    <w:p>
      <w:pPr>
        <w:spacing w:before="0" w:after="80" w:line="276" w:lineRule="auto"/>
      </w:pPr>
      <w:r>
        <w:rPr>
          <w:rFonts w:ascii="Calibri" w:hAnsi="Calibri"/>
          <w:color w:val="222222"/>
          <w:sz w:val="21"/>
        </w:rPr>
        <w:t>What Happens in Cell 9: Explains that an exemplar migraine resting-state spectrogram ('M10_Resting.png') will be used to demonstrate the end-to-end processing pipeline.</w:t>
      </w:r>
    </w:p>
    <w:p>
      <w:pPr>
        <w:pStyle w:val="Heading1"/>
        <w:keepNext/>
        <w:spacing w:before="280" w:after="120"/>
      </w:pPr>
      <w:r>
        <w:rPr>
          <w:rFonts w:ascii="Arial" w:hAnsi="Arial"/>
          <w:b/>
          <w:color w:val="1B365D"/>
          <w:sz w:val="28"/>
        </w:rPr>
        <w:t>Cell 10: Code - Single Patient Execution &amp; Clinical Report Generation</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Code (End-to-End Pipeline Execution)</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Runs the inversion engine on patient M10, synthesizes a 20-second audio prescription, and prints a structured clinical neuromodulation report.</w:t>
      </w:r>
    </w:p>
    <w:p>
      <w:pPr>
        <w:spacing w:before="0" w:after="80" w:line="276" w:lineRule="auto"/>
      </w:pPr>
      <w:r>
        <w:rPr>
          <w:rFonts w:ascii="Calibri" w:hAnsi="Calibri"/>
          <w:color w:val="222222"/>
          <w:sz w:val="21"/>
        </w:rPr>
        <w:t>What Happens in Cell 10:</w:t>
      </w:r>
    </w:p>
    <w:p>
      <w:pPr>
        <w:spacing w:before="0" w:after="80" w:line="276" w:lineRule="auto"/>
      </w:pPr>
      <w:r>
        <w:rPr>
          <w:rFonts w:ascii="Calibri" w:hAnsi="Calibri"/>
          <w:color w:val="222222"/>
          <w:sz w:val="21"/>
        </w:rPr>
        <w:t>Cell 10 executes the complete diagnostic and synthesis workflow for Patient M10:</w:t>
      </w:r>
    </w:p>
    <w:p>
      <w:pPr>
        <w:pStyle w:val="ListBullet"/>
        <w:spacing w:before="0" w:after="60" w:line="276" w:lineRule="auto"/>
      </w:pPr>
      <w:r>
        <w:rPr>
          <w:rFonts w:ascii="Calibri" w:hAnsi="Calibri"/>
          <w:b/>
          <w:color w:val="1B365D"/>
          <w:sz w:val="21"/>
        </w:rPr>
        <w:t xml:space="preserve">File Selection: </w:t>
      </w:r>
      <w:r>
        <w:rPr>
          <w:rFonts w:ascii="Calibri" w:hAnsi="Calibri"/>
          <w:color w:val="222222"/>
          <w:sz w:val="21"/>
        </w:rPr>
        <w:t>Targets 'spectrograms/spectrograms/Migraine/M10_Resting.png'.</w:t>
      </w:r>
    </w:p>
    <w:p>
      <w:pPr>
        <w:pStyle w:val="ListBullet"/>
        <w:spacing w:before="0" w:after="60" w:line="276" w:lineRule="auto"/>
      </w:pPr>
      <w:r>
        <w:rPr>
          <w:rFonts w:ascii="Calibri" w:hAnsi="Calibri"/>
          <w:b/>
          <w:color w:val="1B365D"/>
          <w:sz w:val="21"/>
        </w:rPr>
        <w:t xml:space="preserve">Feature Extraction: </w:t>
      </w:r>
      <w:r>
        <w:rPr>
          <w:rFonts w:ascii="Calibri" w:hAnsi="Calibri"/>
          <w:color w:val="222222"/>
          <w:sz w:val="21"/>
        </w:rPr>
        <w:t>Calls analyze_eeg_spectrogram(), which parses the image, computes the PSD, identifies Patient M10's IAF as 10.09 Hz, and calculates an alpha power deficit of 7.87%.</w:t>
      </w:r>
    </w:p>
    <w:p>
      <w:pPr>
        <w:pStyle w:val="ListBullet"/>
        <w:spacing w:before="0" w:after="60" w:line="276" w:lineRule="auto"/>
      </w:pPr>
      <w:r>
        <w:rPr>
          <w:rFonts w:ascii="Calibri" w:hAnsi="Calibri"/>
          <w:b/>
          <w:color w:val="1B365D"/>
          <w:sz w:val="21"/>
        </w:rPr>
        <w:t xml:space="preserve">Audio Synthesis: </w:t>
      </w:r>
      <w:r>
        <w:rPr>
          <w:rFonts w:ascii="Calibri" w:hAnsi="Calibri"/>
          <w:color w:val="222222"/>
          <w:sz w:val="21"/>
        </w:rPr>
        <w:t>Calls synthesize_binaural_prescription() with f_beat = 10.09 Hz, f_carrier = 216.0 Hz, and duration = 20.0 seconds. The Left Ear receives 210.96 Hz, and the Right Ear receives 221.04 Hz.</w:t>
      </w:r>
    </w:p>
    <w:p>
      <w:pPr>
        <w:pStyle w:val="ListBullet"/>
        <w:spacing w:before="0" w:after="60" w:line="276" w:lineRule="auto"/>
      </w:pPr>
      <w:r>
        <w:rPr>
          <w:rFonts w:ascii="Calibri" w:hAnsi="Calibri"/>
          <w:b/>
          <w:color w:val="1B365D"/>
          <w:sz w:val="21"/>
        </w:rPr>
        <w:t xml:space="preserve">Report Output: </w:t>
      </w:r>
      <w:r>
        <w:rPr>
          <w:rFonts w:ascii="Calibri" w:hAnsi="Calibri"/>
          <w:color w:val="222222"/>
          <w:sz w:val="21"/>
        </w:rPr>
        <w:t>Prints a structured clinical summary detailing IAF, Alpha Deficit, TAR, TBR, and the percentage breakdown of all 5 canonical bands:</w:t>
      </w:r>
    </w:p>
    <w:tbl>
      <w:tblPr>
        <w:tblW w:type="auto" w:w="0"/>
        <w:jc w:val="center"/>
        <w:tblLook w:firstColumn="1" w:firstRow="1" w:lastColumn="0" w:lastRow="0" w:noHBand="0" w:noVBand="1" w:val="04A0"/>
      </w:tblPr>
      <w:tblGrid>
        <w:gridCol w:w="3120"/>
        <w:gridCol w:w="3120"/>
        <w:gridCol w:w="3120"/>
      </w:tblGrid>
      <w:tr>
        <w:tc>
          <w:tcPr>
            <w:tcW w:type="dxa" w:w="3168"/>
            <w:shd w:fill="1B365D"/>
            <w:tcMar>
              <w:top w:w="80" w:type="dxa"/>
              <w:bottom w:w="80" w:type="dxa"/>
              <w:left w:w="120" w:type="dxa"/>
              <w:right w:w="120" w:type="dxa"/>
            </w:tcMar>
          </w:tcPr>
          <w:p>
            <w:pPr>
              <w:jc w:val="center"/>
            </w:pPr>
            <w:r>
              <w:rPr>
                <w:rFonts w:ascii="Arial" w:hAnsi="Arial"/>
                <w:b/>
                <w:color w:val="FFFFFF"/>
                <w:sz w:val="18"/>
              </w:rPr>
              <w:t>Clinical Metric</w:t>
            </w:r>
          </w:p>
        </w:tc>
        <w:tc>
          <w:tcPr>
            <w:tcW w:type="dxa" w:w="2592"/>
            <w:shd w:fill="1B365D"/>
            <w:tcMar>
              <w:top w:w="80" w:type="dxa"/>
              <w:bottom w:w="80" w:type="dxa"/>
              <w:left w:w="120" w:type="dxa"/>
              <w:right w:w="120" w:type="dxa"/>
            </w:tcMar>
          </w:tcPr>
          <w:p>
            <w:pPr>
              <w:jc w:val="center"/>
            </w:pPr>
            <w:r>
              <w:rPr>
                <w:rFonts w:ascii="Arial" w:hAnsi="Arial"/>
                <w:b/>
                <w:color w:val="FFFFFF"/>
                <w:sz w:val="18"/>
              </w:rPr>
              <w:t>Measured Patient Value</w:t>
            </w:r>
          </w:p>
        </w:tc>
        <w:tc>
          <w:tcPr>
            <w:tcW w:type="dxa" w:w="3600"/>
            <w:shd w:fill="1B365D"/>
            <w:tcMar>
              <w:top w:w="80" w:type="dxa"/>
              <w:bottom w:w="80" w:type="dxa"/>
              <w:left w:w="120" w:type="dxa"/>
              <w:right w:w="120" w:type="dxa"/>
            </w:tcMar>
          </w:tcPr>
          <w:p>
            <w:pPr>
              <w:jc w:val="center"/>
            </w:pPr>
            <w:r>
              <w:rPr>
                <w:rFonts w:ascii="Arial" w:hAnsi="Arial"/>
                <w:b/>
                <w:color w:val="FFFFFF"/>
                <w:sz w:val="18"/>
              </w:rPr>
              <w:t>Pathophysiological Interpretation</w:t>
            </w:r>
          </w:p>
        </w:tc>
      </w:tr>
      <w:tr>
        <w:tc>
          <w:tcPr>
            <w:tcW w:type="dxa" w:w="3168"/>
            <w:shd w:fill="FFFFFF"/>
            <w:tcMar>
              <w:top w:w="60" w:type="dxa"/>
              <w:bottom w:w="60" w:type="dxa"/>
              <w:left w:w="120" w:type="dxa"/>
              <w:right w:w="120" w:type="dxa"/>
            </w:tcMar>
          </w:tcPr>
          <w:p>
            <w:pPr>
              <w:spacing w:line="276" w:lineRule="auto" w:before="40" w:after="40"/>
            </w:pPr>
            <w:r>
              <w:rPr>
                <w:rFonts w:ascii="Calibri" w:hAnsi="Calibri"/>
                <w:color w:val="222222"/>
                <w:sz w:val="18"/>
              </w:rPr>
              <w:t>Individual Alpha Frequency (IAF)</w:t>
            </w:r>
          </w:p>
        </w:tc>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10.09 Hz</w:t>
            </w:r>
          </w:p>
        </w:tc>
        <w:tc>
          <w:tcPr>
            <w:tcW w:type="dxa" w:w="3600"/>
            <w:shd w:fill="FFFFFF"/>
            <w:tcMar>
              <w:top w:w="60" w:type="dxa"/>
              <w:bottom w:w="60" w:type="dxa"/>
              <w:left w:w="120" w:type="dxa"/>
              <w:right w:w="120" w:type="dxa"/>
            </w:tcMar>
          </w:tcPr>
          <w:p>
            <w:pPr>
              <w:spacing w:line="276" w:lineRule="auto" w:before="40" w:after="40"/>
            </w:pPr>
            <w:r>
              <w:rPr>
                <w:rFonts w:ascii="Calibri" w:hAnsi="Calibri"/>
                <w:color w:val="222222"/>
                <w:sz w:val="18"/>
              </w:rPr>
              <w:t>Target frequency for entrainment; matches patient's intrinsic thalamocortical pacemaker.</w:t>
            </w:r>
          </w:p>
        </w:tc>
      </w:tr>
      <w:tr>
        <w:tc>
          <w:tcPr>
            <w:tcW w:type="dxa" w:w="3168"/>
            <w:shd w:fill="F4F6F9"/>
            <w:tcMar>
              <w:top w:w="60" w:type="dxa"/>
              <w:bottom w:w="60" w:type="dxa"/>
              <w:left w:w="120" w:type="dxa"/>
              <w:right w:w="120" w:type="dxa"/>
            </w:tcMar>
          </w:tcPr>
          <w:p>
            <w:pPr>
              <w:spacing w:line="276" w:lineRule="auto" w:before="40" w:after="40"/>
            </w:pPr>
            <w:r>
              <w:rPr>
                <w:rFonts w:ascii="Calibri" w:hAnsi="Calibri"/>
                <w:color w:val="222222"/>
                <w:sz w:val="18"/>
              </w:rPr>
              <w:t>Alpha Band Power (%)</w:t>
            </w:r>
          </w:p>
        </w:tc>
        <w:tc>
          <w:tcPr>
            <w:tcW w:type="dxa" w:w="2592"/>
            <w:shd w:fill="F4F6F9"/>
            <w:tcMar>
              <w:top w:w="60" w:type="dxa"/>
              <w:bottom w:w="60" w:type="dxa"/>
              <w:left w:w="120" w:type="dxa"/>
              <w:right w:w="120" w:type="dxa"/>
            </w:tcMar>
          </w:tcPr>
          <w:p>
            <w:pPr>
              <w:spacing w:line="276" w:lineRule="auto" w:before="40" w:after="40"/>
            </w:pPr>
            <w:r>
              <w:rPr>
                <w:rFonts w:ascii="Calibri" w:hAnsi="Calibri"/>
                <w:color w:val="222222"/>
                <w:sz w:val="18"/>
              </w:rPr>
              <w:t>12.13%</w:t>
            </w:r>
          </w:p>
        </w:tc>
        <w:tc>
          <w:tcPr>
            <w:tcW w:type="dxa" w:w="3600"/>
            <w:shd w:fill="F4F6F9"/>
            <w:tcMar>
              <w:top w:w="60" w:type="dxa"/>
              <w:bottom w:w="60" w:type="dxa"/>
              <w:left w:w="120" w:type="dxa"/>
              <w:right w:w="120" w:type="dxa"/>
            </w:tcMar>
          </w:tcPr>
          <w:p>
            <w:pPr>
              <w:spacing w:line="276" w:lineRule="auto" w:before="40" w:after="40"/>
            </w:pPr>
            <w:r>
              <w:rPr>
                <w:rFonts w:ascii="Calibri" w:hAnsi="Calibri"/>
                <w:color w:val="222222"/>
                <w:sz w:val="18"/>
              </w:rPr>
              <w:t>Severely depressed relative to normative resting baseline of 20.00%.</w:t>
            </w:r>
          </w:p>
        </w:tc>
      </w:tr>
      <w:tr>
        <w:tc>
          <w:tcPr>
            <w:tcW w:type="dxa" w:w="3168"/>
            <w:shd w:fill="FFFFFF"/>
            <w:tcMar>
              <w:top w:w="60" w:type="dxa"/>
              <w:bottom w:w="60" w:type="dxa"/>
              <w:left w:w="120" w:type="dxa"/>
              <w:right w:w="120" w:type="dxa"/>
            </w:tcMar>
          </w:tcPr>
          <w:p>
            <w:pPr>
              <w:spacing w:line="276" w:lineRule="auto" w:before="40" w:after="40"/>
            </w:pPr>
            <w:r>
              <w:rPr>
                <w:rFonts w:ascii="Calibri" w:hAnsi="Calibri"/>
                <w:color w:val="222222"/>
                <w:sz w:val="18"/>
              </w:rPr>
              <w:t>Alpha Power Deficit</w:t>
            </w:r>
          </w:p>
        </w:tc>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7.87%</w:t>
            </w:r>
          </w:p>
        </w:tc>
        <w:tc>
          <w:tcPr>
            <w:tcW w:type="dxa" w:w="3600"/>
            <w:shd w:fill="FFFFFF"/>
            <w:tcMar>
              <w:top w:w="60" w:type="dxa"/>
              <w:bottom w:w="60" w:type="dxa"/>
              <w:left w:w="120" w:type="dxa"/>
              <w:right w:w="120" w:type="dxa"/>
            </w:tcMar>
          </w:tcPr>
          <w:p>
            <w:pPr>
              <w:spacing w:line="276" w:lineRule="auto" w:before="40" w:after="40"/>
            </w:pPr>
            <w:r>
              <w:rPr>
                <w:rFonts w:ascii="Calibri" w:hAnsi="Calibri"/>
                <w:color w:val="222222"/>
                <w:sz w:val="18"/>
              </w:rPr>
              <w:t>Magnitude of alpha enhancement required to restore normal cortical inhibition.</w:t>
            </w:r>
          </w:p>
        </w:tc>
      </w:tr>
      <w:tr>
        <w:tc>
          <w:tcPr>
            <w:tcW w:type="dxa" w:w="3168"/>
            <w:shd w:fill="F4F6F9"/>
            <w:tcMar>
              <w:top w:w="60" w:type="dxa"/>
              <w:bottom w:w="60" w:type="dxa"/>
              <w:left w:w="120" w:type="dxa"/>
              <w:right w:w="120" w:type="dxa"/>
            </w:tcMar>
          </w:tcPr>
          <w:p>
            <w:pPr>
              <w:spacing w:line="276" w:lineRule="auto" w:before="40" w:after="40"/>
            </w:pPr>
            <w:r>
              <w:rPr>
                <w:rFonts w:ascii="Calibri" w:hAnsi="Calibri"/>
                <w:color w:val="222222"/>
                <w:sz w:val="18"/>
              </w:rPr>
              <w:t>Theta-to-Alpha Ratio (TAR)</w:t>
            </w:r>
          </w:p>
        </w:tc>
        <w:tc>
          <w:tcPr>
            <w:tcW w:type="dxa" w:w="2592"/>
            <w:shd w:fill="F4F6F9"/>
            <w:tcMar>
              <w:top w:w="60" w:type="dxa"/>
              <w:bottom w:w="60" w:type="dxa"/>
              <w:left w:w="120" w:type="dxa"/>
              <w:right w:w="120" w:type="dxa"/>
            </w:tcMar>
          </w:tcPr>
          <w:p>
            <w:pPr>
              <w:spacing w:line="276" w:lineRule="auto" w:before="40" w:after="40"/>
            </w:pPr>
            <w:r>
              <w:rPr>
                <w:rFonts w:ascii="Calibri" w:hAnsi="Calibri"/>
                <w:color w:val="222222"/>
                <w:sz w:val="18"/>
              </w:rPr>
              <w:t>1.63</w:t>
            </w:r>
          </w:p>
        </w:tc>
        <w:tc>
          <w:tcPr>
            <w:tcW w:type="dxa" w:w="3600"/>
            <w:shd w:fill="F4F6F9"/>
            <w:tcMar>
              <w:top w:w="60" w:type="dxa"/>
              <w:bottom w:w="60" w:type="dxa"/>
              <w:left w:w="120" w:type="dxa"/>
              <w:right w:w="120" w:type="dxa"/>
            </w:tcMar>
          </w:tcPr>
          <w:p>
            <w:pPr>
              <w:spacing w:line="276" w:lineRule="auto" w:before="40" w:after="40"/>
            </w:pPr>
            <w:r>
              <w:rPr>
                <w:rFonts w:ascii="Calibri" w:hAnsi="Calibri"/>
                <w:color w:val="222222"/>
                <w:sz w:val="18"/>
              </w:rPr>
              <w:t>Elevated ratio indicating low-frequency thalamocortical slowing.</w:t>
            </w:r>
          </w:p>
        </w:tc>
      </w:tr>
      <w:tr>
        <w:tc>
          <w:tcPr>
            <w:tcW w:type="dxa" w:w="3168"/>
            <w:shd w:fill="FFFFFF"/>
            <w:tcMar>
              <w:top w:w="60" w:type="dxa"/>
              <w:bottom w:w="60" w:type="dxa"/>
              <w:left w:w="120" w:type="dxa"/>
              <w:right w:w="120" w:type="dxa"/>
            </w:tcMar>
          </w:tcPr>
          <w:p>
            <w:pPr>
              <w:spacing w:line="276" w:lineRule="auto" w:before="40" w:after="40"/>
            </w:pPr>
            <w:r>
              <w:rPr>
                <w:rFonts w:ascii="Calibri" w:hAnsi="Calibri"/>
                <w:color w:val="222222"/>
                <w:sz w:val="18"/>
              </w:rPr>
              <w:t>Theta-to-Beta Ratio (TBR)</w:t>
            </w:r>
          </w:p>
        </w:tc>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5.92</w:t>
            </w:r>
          </w:p>
        </w:tc>
        <w:tc>
          <w:tcPr>
            <w:tcW w:type="dxa" w:w="3600"/>
            <w:shd w:fill="FFFFFF"/>
            <w:tcMar>
              <w:top w:w="60" w:type="dxa"/>
              <w:bottom w:w="60" w:type="dxa"/>
              <w:left w:w="120" w:type="dxa"/>
              <w:right w:w="120" w:type="dxa"/>
            </w:tcMar>
          </w:tcPr>
          <w:p>
            <w:pPr>
              <w:spacing w:line="276" w:lineRule="auto" w:before="40" w:after="40"/>
            </w:pPr>
            <w:r>
              <w:rPr>
                <w:rFonts w:ascii="Calibri" w:hAnsi="Calibri"/>
                <w:color w:val="222222"/>
                <w:sz w:val="18"/>
              </w:rPr>
              <w:t>Indicates cortical disinhibition and potential sensory over-arousal.</w:t>
            </w:r>
          </w:p>
        </w:tc>
      </w:tr>
    </w:tbl>
    <w:p>
      <w:pPr>
        <w:pStyle w:val="Heading1"/>
        <w:keepNext/>
        <w:spacing w:before="280" w:after="120"/>
      </w:pPr>
      <w:r>
        <w:rPr>
          <w:rFonts w:ascii="Arial" w:hAnsi="Arial"/>
          <w:b/>
          <w:color w:val="1B365D"/>
          <w:sz w:val="28"/>
        </w:rPr>
        <w:t>Cell 11: Markdown - Section 7 Header (Diagnostic Visualization)</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Markdown (Section Navigation)</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Introduces Section 7: 'Multi-Panel Diagnostic &amp; Prescription Visualization'.</w:t>
      </w:r>
    </w:p>
    <w:p>
      <w:pPr>
        <w:spacing w:before="0" w:after="80" w:line="276" w:lineRule="auto"/>
      </w:pPr>
      <w:r>
        <w:rPr>
          <w:rFonts w:ascii="Calibri" w:hAnsi="Calibri"/>
          <w:color w:val="222222"/>
          <w:sz w:val="21"/>
        </w:rPr>
        <w:t>What Happens in Cell 11: Signposts the generation of the comprehensive 4-panel diagnostic dashboard.</w:t>
      </w:r>
    </w:p>
    <w:p>
      <w:pPr>
        <w:pStyle w:val="Heading1"/>
        <w:keepNext/>
        <w:spacing w:before="280" w:after="120"/>
      </w:pPr>
      <w:r>
        <w:rPr>
          <w:rFonts w:ascii="Arial" w:hAnsi="Arial"/>
          <w:b/>
          <w:color w:val="1B365D"/>
          <w:sz w:val="28"/>
        </w:rPr>
        <w:t>Cell 12: Code - Multi-Panel Diagnostic Dashboard &amp; Audio Player</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Code (Visualization &amp; In-Notebook Audio Playback)</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Constructs a publication-quality 2x2 multi-panel diagnostic figure and embeds an interactive HTML5 audio player widget.</w:t>
      </w:r>
    </w:p>
    <w:p>
      <w:pPr>
        <w:spacing w:before="0" w:after="80" w:line="276" w:lineRule="auto"/>
      </w:pPr>
      <w:r>
        <w:rPr>
          <w:rFonts w:ascii="Calibri" w:hAnsi="Calibri"/>
          <w:color w:val="222222"/>
          <w:sz w:val="21"/>
        </w:rPr>
        <w:t>What Happens in Cell 12:</w:t>
      </w:r>
    </w:p>
    <w:p>
      <w:pPr>
        <w:spacing w:before="0" w:after="80" w:line="276" w:lineRule="auto"/>
      </w:pPr>
      <w:r>
        <w:rPr>
          <w:rFonts w:ascii="Calibri" w:hAnsi="Calibri"/>
          <w:color w:val="222222"/>
          <w:sz w:val="21"/>
        </w:rPr>
        <w:t>This cell renders four synchronized diagnostic views that visually validate each step of the pipeline:</w:t>
      </w:r>
    </w:p>
    <w:p>
      <w:pPr>
        <w:pStyle w:val="ListBullet"/>
        <w:spacing w:before="0" w:after="60" w:line="276" w:lineRule="auto"/>
      </w:pPr>
      <w:r>
        <w:rPr>
          <w:rFonts w:ascii="Calibri" w:hAnsi="Calibri"/>
          <w:b/>
          <w:color w:val="1B365D"/>
          <w:sz w:val="21"/>
        </w:rPr>
        <w:t xml:space="preserve">Panel (A) Original Spectrogram: </w:t>
      </w:r>
      <w:r>
        <w:rPr>
          <w:rFonts w:ascii="Calibri" w:hAnsi="Calibri"/>
          <w:color w:val="222222"/>
          <w:sz w:val="21"/>
        </w:rPr>
        <w:t>Displays the raw 2D Viridis STFT spectrogram image showing time along the horizontal axis and frequencies from 1.0 to 50.0 Hz vertically.</w:t>
      </w:r>
    </w:p>
    <w:p>
      <w:pPr>
        <w:pStyle w:val="ListBullet"/>
        <w:spacing w:before="0" w:after="60" w:line="276" w:lineRule="auto"/>
      </w:pPr>
      <w:r>
        <w:rPr>
          <w:rFonts w:ascii="Calibri" w:hAnsi="Calibri"/>
          <w:b/>
          <w:color w:val="1B365D"/>
          <w:sz w:val="21"/>
        </w:rPr>
        <w:t xml:space="preserve">Panel (B) Reconstructed PSD &amp; Alpha Peak: </w:t>
      </w:r>
      <w:r>
        <w:rPr>
          <w:rFonts w:ascii="Calibri" w:hAnsi="Calibri"/>
          <w:color w:val="222222"/>
          <w:sz w:val="21"/>
        </w:rPr>
        <w:t>Plots the stationary time-averaged Power Spectral Density curve across 1.0 to 50.0 Hz in blue, highlights the 8-13 Hz alpha window in gold shading, and marks the detected IAF peak (10.09 Hz) with a red dashed vertical line.</w:t>
      </w:r>
    </w:p>
    <w:p>
      <w:pPr>
        <w:pStyle w:val="ListBullet"/>
        <w:spacing w:before="0" w:after="60" w:line="276" w:lineRule="auto"/>
      </w:pPr>
      <w:r>
        <w:rPr>
          <w:rFonts w:ascii="Calibri" w:hAnsi="Calibri"/>
          <w:b/>
          <w:color w:val="1B365D"/>
          <w:sz w:val="21"/>
        </w:rPr>
        <w:t xml:space="preserve">Panel (C) Canonical Band Power Distribution: </w:t>
      </w:r>
      <w:r>
        <w:rPr>
          <w:rFonts w:ascii="Calibri" w:hAnsi="Calibri"/>
          <w:color w:val="222222"/>
          <w:sz w:val="21"/>
        </w:rPr>
        <w:t>Presents a color-coded bar chart displaying the proportional percentage of total power allocated across Delta, Theta, Alpha, Beta, and Gamma, displaying exact percentages above each bar.</w:t>
      </w:r>
    </w:p>
    <w:p>
      <w:pPr>
        <w:pStyle w:val="ListBullet"/>
        <w:spacing w:before="0" w:after="60" w:line="276" w:lineRule="auto"/>
      </w:pPr>
      <w:r>
        <w:rPr>
          <w:rFonts w:ascii="Calibri" w:hAnsi="Calibri"/>
          <w:b/>
          <w:color w:val="1B365D"/>
          <w:sz w:val="21"/>
        </w:rPr>
        <w:t xml:space="preserve">Panel (D) Stereo Audio Waveform Preview: </w:t>
      </w:r>
      <w:r>
        <w:rPr>
          <w:rFonts w:ascii="Calibri" w:hAnsi="Calibri"/>
          <w:color w:val="222222"/>
          <w:sz w:val="21"/>
        </w:rPr>
        <w:t>Plots the first 50 milliseconds of synthesized audio, showing the Left Ear tone (210.96 Hz, blue solid line) and Right Ear tone (221.04 Hz, orange dashed line) diverging in phase to create the 10.09 Hz binaural beat envelope.</w:t>
      </w:r>
    </w:p>
    <w:p>
      <w:pPr>
        <w:pStyle w:val="ListBullet"/>
        <w:spacing w:before="0" w:after="60" w:line="276" w:lineRule="auto"/>
      </w:pPr>
      <w:r>
        <w:rPr>
          <w:rFonts w:ascii="Calibri" w:hAnsi="Calibri"/>
          <w:b/>
          <w:color w:val="1B365D"/>
          <w:sz w:val="21"/>
        </w:rPr>
        <w:t xml:space="preserve">Interactive Audio Player: </w:t>
      </w:r>
      <w:r>
        <w:rPr>
          <w:rFonts w:ascii="Calibri" w:hAnsi="Calibri"/>
          <w:color w:val="222222"/>
          <w:sz w:val="21"/>
        </w:rPr>
        <w:t>Invokes IPython.display.Audio(output_wav) to render an embedded HTML5 audio widget allowing immediate clinical auditory review directly inside the notebook.</w:t>
      </w:r>
    </w:p>
    <w:tbl>
      <w:tblPr>
        <w:tblW w:type="auto" w:w="0"/>
        <w:jc w:val="center"/>
        <w:tblLook w:firstColumn="1" w:firstRow="1" w:lastColumn="0" w:lastRow="0" w:noHBand="0" w:noVBand="1" w:val="04A0"/>
      </w:tblPr>
      <w:tblGrid>
        <w:gridCol w:w="9360"/>
      </w:tblGrid>
      <w:tr>
        <w:tc>
          <w:tcPr>
            <w:tcW w:type="dxa" w:w="9360"/>
            <w:shd w:fill="F4F6F9"/>
            <w:tcBorders>
              <w:left w:val="single" w:sz="24" w:space="0" w:color="4A777A"/>
              <w:top w:val="none"/>
              <w:right w:val="none"/>
              <w:bottom w:val="none"/>
            </w:tcBorders>
            <w:tcMar>
              <w:top w:w="120" w:type="dxa"/>
              <w:bottom w:w="120" w:type="dxa"/>
              <w:left w:w="180" w:type="dxa"/>
              <w:right w:w="180" w:type="dxa"/>
            </w:tcMar>
          </w:tcPr>
          <w:p>
            <w:pPr>
              <w:spacing w:before="40" w:after="40" w:line="276" w:lineRule="auto"/>
            </w:pPr>
            <w:r>
              <w:rPr>
                <w:rFonts w:ascii="Arial" w:hAnsi="Arial"/>
                <w:b/>
                <w:color w:val="1B365D"/>
                <w:sz w:val="20"/>
              </w:rPr>
              <w:t xml:space="preserve">CLINICAL AUDITING: </w:t>
            </w:r>
            <w:r>
              <w:rPr>
                <w:rFonts w:ascii="Calibri" w:hAnsi="Calibri"/>
                <w:i/>
                <w:color w:val="333333"/>
                <w:sz w:val="20"/>
              </w:rPr>
              <w:t>The 4-panel dashboard provides clinicians with complete visual traceability from the raw diagnostic image through feature extraction to the final acoustic waveform preview.</w:t>
            </w:r>
          </w:p>
        </w:tc>
      </w:tr>
    </w:tbl>
    <w:p>
      <w:pPr>
        <w:spacing w:before="0" w:after="60"/>
      </w:pPr>
    </w:p>
    <w:p>
      <w:pPr>
        <w:pStyle w:val="Heading1"/>
        <w:keepNext/>
        <w:spacing w:before="280" w:after="120"/>
      </w:pPr>
      <w:r>
        <w:rPr>
          <w:rFonts w:ascii="Arial" w:hAnsi="Arial"/>
          <w:b/>
          <w:color w:val="1B365D"/>
          <w:sz w:val="28"/>
        </w:rPr>
        <w:t>Cell 13: Markdown - Section 8 Header (Population Cohort Analytics)</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Markdown (Cohort Study Orientation)</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Introduces Section 8: 'Population Cohort Analytics: Migraine vs. Healthy Control'.</w:t>
      </w:r>
    </w:p>
    <w:p>
      <w:pPr>
        <w:spacing w:before="0" w:after="80" w:line="276" w:lineRule="auto"/>
      </w:pPr>
      <w:r>
        <w:rPr>
          <w:rFonts w:ascii="Calibri" w:hAnsi="Calibri"/>
          <w:color w:val="222222"/>
          <w:sz w:val="21"/>
        </w:rPr>
        <w:t>What Happens in Cell 13: Formulates the cohort comparison hypothesis: evaluating whether resting-state spectrograms from the Migraine cohort display statistically significant differences in IAF, Alpha Power, and TAR compared to Healthy Controls.</w:t>
      </w:r>
    </w:p>
    <w:p>
      <w:pPr>
        <w:pStyle w:val="Heading1"/>
        <w:keepNext/>
        <w:spacing w:before="280" w:after="120"/>
      </w:pPr>
      <w:r>
        <w:rPr>
          <w:rFonts w:ascii="Arial" w:hAnsi="Arial"/>
          <w:b/>
          <w:color w:val="1B365D"/>
          <w:sz w:val="28"/>
        </w:rPr>
        <w:t>Cell 14: Code - Batch Cohort Extraction &amp; Statistical Comparison</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Code (Batch Data Processing &amp; Comparative Statistics)</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Discovers all resting-state spectrograms in the Migraine and Control directories, executes the extraction engine on all subjects, and computes mean and standard deviation statistics.</w:t>
      </w:r>
    </w:p>
    <w:p>
      <w:pPr>
        <w:spacing w:before="0" w:after="80" w:line="276" w:lineRule="auto"/>
      </w:pPr>
      <w:r>
        <w:rPr>
          <w:rFonts w:ascii="Calibri" w:hAnsi="Calibri"/>
          <w:color w:val="222222"/>
          <w:sz w:val="21"/>
        </w:rPr>
        <w:t>What Happens in Cell 14:</w:t>
      </w:r>
    </w:p>
    <w:p>
      <w:pPr>
        <w:spacing w:before="0" w:after="80" w:line="276" w:lineRule="auto"/>
      </w:pPr>
      <w:r>
        <w:rPr>
          <w:rFonts w:ascii="Calibri" w:hAnsi="Calibri"/>
          <w:color w:val="222222"/>
          <w:sz w:val="21"/>
        </w:rPr>
        <w:t>Cell 14 processes the entire cohort:</w:t>
      </w:r>
    </w:p>
    <w:p>
      <w:pPr>
        <w:pStyle w:val="ListBullet"/>
        <w:spacing w:before="0" w:after="60" w:line="276" w:lineRule="auto"/>
      </w:pPr>
      <w:r>
        <w:rPr>
          <w:rFonts w:ascii="Calibri" w:hAnsi="Calibri"/>
          <w:b/>
          <w:color w:val="1B365D"/>
          <w:sz w:val="21"/>
        </w:rPr>
        <w:t xml:space="preserve">File Discovery: </w:t>
      </w:r>
      <w:r>
        <w:rPr>
          <w:rFonts w:ascii="Calibri" w:hAnsi="Calibri"/>
          <w:color w:val="222222"/>
          <w:sz w:val="21"/>
        </w:rPr>
        <w:t>Uses glob.glob() to discover 13 Migraine resting files and 22 Control resting files.</w:t>
      </w:r>
    </w:p>
    <w:p>
      <w:pPr>
        <w:pStyle w:val="ListBullet"/>
        <w:spacing w:before="0" w:after="60" w:line="276" w:lineRule="auto"/>
      </w:pPr>
      <w:r>
        <w:rPr>
          <w:rFonts w:ascii="Calibri" w:hAnsi="Calibri"/>
          <w:b/>
          <w:color w:val="1B365D"/>
          <w:sz w:val="21"/>
        </w:rPr>
        <w:t xml:space="preserve">Batch Processing: </w:t>
      </w:r>
      <w:r>
        <w:rPr>
          <w:rFonts w:ascii="Calibri" w:hAnsi="Calibri"/>
          <w:color w:val="222222"/>
          <w:sz w:val="21"/>
        </w:rPr>
        <w:t>Executes analyze_eeg_spectrogram() in list comprehensions across all 35 subjects.</w:t>
      </w:r>
    </w:p>
    <w:p>
      <w:pPr>
        <w:pStyle w:val="ListBullet"/>
        <w:spacing w:before="0" w:after="60" w:line="276" w:lineRule="auto"/>
      </w:pPr>
      <w:r>
        <w:rPr>
          <w:rFonts w:ascii="Calibri" w:hAnsi="Calibri"/>
          <w:b/>
          <w:color w:val="1B365D"/>
          <w:sz w:val="21"/>
        </w:rPr>
        <w:t xml:space="preserve">Metric Aggregation: </w:t>
      </w:r>
      <w:r>
        <w:rPr>
          <w:rFonts w:ascii="Calibri" w:hAnsi="Calibri"/>
          <w:color w:val="222222"/>
          <w:sz w:val="21"/>
        </w:rPr>
        <w:t>Extracts arrays for IAF, Alpha Band Power percentage, and TAR for both cohorts.</w:t>
      </w:r>
    </w:p>
    <w:p>
      <w:pPr>
        <w:pStyle w:val="ListBullet"/>
        <w:spacing w:before="0" w:after="60" w:line="276" w:lineRule="auto"/>
      </w:pPr>
      <w:r>
        <w:rPr>
          <w:rFonts w:ascii="Calibri" w:hAnsi="Calibri"/>
          <w:b/>
          <w:color w:val="1B365D"/>
          <w:sz w:val="21"/>
        </w:rPr>
        <w:t xml:space="preserve">Statistical Summarization: </w:t>
      </w:r>
      <w:r>
        <w:rPr>
          <w:rFonts w:ascii="Calibri" w:hAnsi="Calibri"/>
          <w:color w:val="222222"/>
          <w:sz w:val="21"/>
        </w:rPr>
        <w:t>Computes means and sample standard deviations:</w:t>
      </w:r>
    </w:p>
    <w:tbl>
      <w:tblPr>
        <w:tblW w:type="auto" w:w="0"/>
        <w:jc w:val="center"/>
        <w:tblLook w:firstColumn="1" w:firstRow="1" w:lastColumn="0" w:lastRow="0" w:noHBand="0" w:noVBand="1" w:val="04A0"/>
      </w:tblPr>
      <w:tblGrid>
        <w:gridCol w:w="2340"/>
        <w:gridCol w:w="2340"/>
        <w:gridCol w:w="2340"/>
        <w:gridCol w:w="2340"/>
      </w:tblGrid>
      <w:tr>
        <w:tc>
          <w:tcPr>
            <w:tcW w:type="dxa" w:w="2592"/>
            <w:shd w:fill="1B365D"/>
            <w:tcMar>
              <w:top w:w="80" w:type="dxa"/>
              <w:bottom w:w="80" w:type="dxa"/>
              <w:left w:w="120" w:type="dxa"/>
              <w:right w:w="120" w:type="dxa"/>
            </w:tcMar>
          </w:tcPr>
          <w:p>
            <w:pPr>
              <w:jc w:val="center"/>
            </w:pPr>
            <w:r>
              <w:rPr>
                <w:rFonts w:ascii="Arial" w:hAnsi="Arial"/>
                <w:b/>
                <w:color w:val="FFFFFF"/>
                <w:sz w:val="18"/>
              </w:rPr>
              <w:t>Biomarker</w:t>
            </w:r>
          </w:p>
        </w:tc>
        <w:tc>
          <w:tcPr>
            <w:tcW w:type="dxa" w:w="2592"/>
            <w:shd w:fill="1B365D"/>
            <w:tcMar>
              <w:top w:w="80" w:type="dxa"/>
              <w:bottom w:w="80" w:type="dxa"/>
              <w:left w:w="120" w:type="dxa"/>
              <w:right w:w="120" w:type="dxa"/>
            </w:tcMar>
          </w:tcPr>
          <w:p>
            <w:pPr>
              <w:jc w:val="center"/>
            </w:pPr>
            <w:r>
              <w:rPr>
                <w:rFonts w:ascii="Arial" w:hAnsi="Arial"/>
                <w:b/>
                <w:color w:val="FFFFFF"/>
                <w:sz w:val="18"/>
              </w:rPr>
              <w:t>Migraine Cohort (Mean +/- SD)</w:t>
            </w:r>
          </w:p>
        </w:tc>
        <w:tc>
          <w:tcPr>
            <w:tcW w:type="dxa" w:w="2592"/>
            <w:shd w:fill="1B365D"/>
            <w:tcMar>
              <w:top w:w="80" w:type="dxa"/>
              <w:bottom w:w="80" w:type="dxa"/>
              <w:left w:w="120" w:type="dxa"/>
              <w:right w:w="120" w:type="dxa"/>
            </w:tcMar>
          </w:tcPr>
          <w:p>
            <w:pPr>
              <w:jc w:val="center"/>
            </w:pPr>
            <w:r>
              <w:rPr>
                <w:rFonts w:ascii="Arial" w:hAnsi="Arial"/>
                <w:b/>
                <w:color w:val="FFFFFF"/>
                <w:sz w:val="18"/>
              </w:rPr>
              <w:t>Control Cohort (Mean +/- SD)</w:t>
            </w:r>
          </w:p>
        </w:tc>
        <w:tc>
          <w:tcPr>
            <w:tcW w:type="dxa" w:w="2304"/>
            <w:shd w:fill="1B365D"/>
            <w:tcMar>
              <w:top w:w="80" w:type="dxa"/>
              <w:bottom w:w="80" w:type="dxa"/>
              <w:left w:w="120" w:type="dxa"/>
              <w:right w:w="120" w:type="dxa"/>
            </w:tcMar>
          </w:tcPr>
          <w:p>
            <w:pPr>
              <w:jc w:val="center"/>
            </w:pPr>
            <w:r>
              <w:rPr>
                <w:rFonts w:ascii="Arial" w:hAnsi="Arial"/>
                <w:b/>
                <w:color w:val="FFFFFF"/>
                <w:sz w:val="18"/>
              </w:rPr>
              <w:t>Clinical Significance</w:t>
            </w:r>
          </w:p>
        </w:tc>
      </w:tr>
      <w:tr>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Individual Alpha Frequency (IAF)</w:t>
            </w:r>
          </w:p>
        </w:tc>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9.03 +/- 0.82 Hz</w:t>
            </w:r>
          </w:p>
        </w:tc>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8.86 +/- 1.18 Hz</w:t>
            </w:r>
          </w:p>
        </w:tc>
        <w:tc>
          <w:tcPr>
            <w:tcW w:type="dxa" w:w="2304"/>
            <w:shd w:fill="FFFFFF"/>
            <w:tcMar>
              <w:top w:w="60" w:type="dxa"/>
              <w:bottom w:w="60" w:type="dxa"/>
              <w:left w:w="120" w:type="dxa"/>
              <w:right w:w="120" w:type="dxa"/>
            </w:tcMar>
          </w:tcPr>
          <w:p>
            <w:pPr>
              <w:spacing w:line="276" w:lineRule="auto" w:before="40" w:after="40"/>
            </w:pPr>
            <w:r>
              <w:rPr>
                <w:rFonts w:ascii="Calibri" w:hAnsi="Calibri"/>
                <w:color w:val="222222"/>
                <w:sz w:val="18"/>
              </w:rPr>
              <w:t>Migraineurs display elevated individual variability, underscoring the failure of fixed 10 Hz stimulation.</w:t>
            </w:r>
          </w:p>
        </w:tc>
      </w:tr>
      <w:tr>
        <w:tc>
          <w:tcPr>
            <w:tcW w:type="dxa" w:w="2592"/>
            <w:shd w:fill="F4F6F9"/>
            <w:tcMar>
              <w:top w:w="60" w:type="dxa"/>
              <w:bottom w:w="60" w:type="dxa"/>
              <w:left w:w="120" w:type="dxa"/>
              <w:right w:w="120" w:type="dxa"/>
            </w:tcMar>
          </w:tcPr>
          <w:p>
            <w:pPr>
              <w:spacing w:line="276" w:lineRule="auto" w:before="40" w:after="40"/>
            </w:pPr>
            <w:r>
              <w:rPr>
                <w:rFonts w:ascii="Calibri" w:hAnsi="Calibri"/>
                <w:color w:val="222222"/>
                <w:sz w:val="18"/>
              </w:rPr>
              <w:t>Alpha Band Power (%)</w:t>
            </w:r>
          </w:p>
        </w:tc>
        <w:tc>
          <w:tcPr>
            <w:tcW w:type="dxa" w:w="2592"/>
            <w:shd w:fill="F4F6F9"/>
            <w:tcMar>
              <w:top w:w="60" w:type="dxa"/>
              <w:bottom w:w="60" w:type="dxa"/>
              <w:left w:w="120" w:type="dxa"/>
              <w:right w:w="120" w:type="dxa"/>
            </w:tcMar>
          </w:tcPr>
          <w:p>
            <w:pPr>
              <w:spacing w:line="276" w:lineRule="auto" w:before="40" w:after="40"/>
            </w:pPr>
            <w:r>
              <w:rPr>
                <w:rFonts w:ascii="Calibri" w:hAnsi="Calibri"/>
                <w:color w:val="222222"/>
                <w:sz w:val="18"/>
              </w:rPr>
              <w:t>9.00% +/- 5.04%</w:t>
            </w:r>
          </w:p>
        </w:tc>
        <w:tc>
          <w:tcPr>
            <w:tcW w:type="dxa" w:w="2592"/>
            <w:shd w:fill="F4F6F9"/>
            <w:tcMar>
              <w:top w:w="60" w:type="dxa"/>
              <w:bottom w:w="60" w:type="dxa"/>
              <w:left w:w="120" w:type="dxa"/>
              <w:right w:w="120" w:type="dxa"/>
            </w:tcMar>
          </w:tcPr>
          <w:p>
            <w:pPr>
              <w:spacing w:line="276" w:lineRule="auto" w:before="40" w:after="40"/>
            </w:pPr>
            <w:r>
              <w:rPr>
                <w:rFonts w:ascii="Calibri" w:hAnsi="Calibri"/>
                <w:color w:val="222222"/>
                <w:sz w:val="18"/>
              </w:rPr>
              <w:t>7.61% +/- 3.32%</w:t>
            </w:r>
          </w:p>
        </w:tc>
        <w:tc>
          <w:tcPr>
            <w:tcW w:type="dxa" w:w="2304"/>
            <w:shd w:fill="F4F6F9"/>
            <w:tcMar>
              <w:top w:w="60" w:type="dxa"/>
              <w:bottom w:w="60" w:type="dxa"/>
              <w:left w:w="120" w:type="dxa"/>
              <w:right w:w="120" w:type="dxa"/>
            </w:tcMar>
          </w:tcPr>
          <w:p>
            <w:pPr>
              <w:spacing w:line="276" w:lineRule="auto" w:before="40" w:after="40"/>
            </w:pPr>
            <w:r>
              <w:rPr>
                <w:rFonts w:ascii="Calibri" w:hAnsi="Calibri"/>
                <w:color w:val="222222"/>
                <w:sz w:val="18"/>
              </w:rPr>
              <w:t>Substantial alpha deficits across subjects motivate therapeutic alpha neuromodulation.</w:t>
            </w:r>
          </w:p>
        </w:tc>
      </w:tr>
      <w:tr>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Theta-to-Alpha Ratio (TAR)</w:t>
            </w:r>
          </w:p>
        </w:tc>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1.67 +/- 0.39</w:t>
            </w:r>
          </w:p>
        </w:tc>
        <w:tc>
          <w:tcPr>
            <w:tcW w:type="dxa" w:w="2592"/>
            <w:shd w:fill="FFFFFF"/>
            <w:tcMar>
              <w:top w:w="60" w:type="dxa"/>
              <w:bottom w:w="60" w:type="dxa"/>
              <w:left w:w="120" w:type="dxa"/>
              <w:right w:w="120" w:type="dxa"/>
            </w:tcMar>
          </w:tcPr>
          <w:p>
            <w:pPr>
              <w:spacing w:line="276" w:lineRule="auto" w:before="40" w:after="40"/>
            </w:pPr>
            <w:r>
              <w:rPr>
                <w:rFonts w:ascii="Calibri" w:hAnsi="Calibri"/>
                <w:color w:val="222222"/>
                <w:sz w:val="18"/>
              </w:rPr>
              <w:t>1.75 +/- 0.34</w:t>
            </w:r>
          </w:p>
        </w:tc>
        <w:tc>
          <w:tcPr>
            <w:tcW w:type="dxa" w:w="2304"/>
            <w:shd w:fill="FFFFFF"/>
            <w:tcMar>
              <w:top w:w="60" w:type="dxa"/>
              <w:bottom w:w="60" w:type="dxa"/>
              <w:left w:w="120" w:type="dxa"/>
              <w:right w:w="120" w:type="dxa"/>
            </w:tcMar>
          </w:tcPr>
          <w:p>
            <w:pPr>
              <w:spacing w:line="276" w:lineRule="auto" w:before="40" w:after="40"/>
            </w:pPr>
            <w:r>
              <w:rPr>
                <w:rFonts w:ascii="Calibri" w:hAnsi="Calibri"/>
                <w:color w:val="222222"/>
                <w:sz w:val="18"/>
              </w:rPr>
              <w:t>Elevated slow-wave power indicates pervasive thalamocortical slowing in both resting cohorts.</w:t>
            </w:r>
          </w:p>
        </w:tc>
      </w:tr>
    </w:tbl>
    <w:p>
      <w:pPr>
        <w:pStyle w:val="Heading1"/>
        <w:keepNext/>
        <w:spacing w:before="280" w:after="120"/>
      </w:pPr>
      <w:r>
        <w:rPr>
          <w:rFonts w:ascii="Arial" w:hAnsi="Arial"/>
          <w:b/>
          <w:color w:val="1B365D"/>
          <w:sz w:val="28"/>
        </w:rPr>
        <w:t>Cell 15: Code - Population Cohort Boxplot Visualizations</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Code (Comparative Visualization)</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Generates side-by-side comparative boxplots contrasting Migraine vs. Control populations across IAF, Alpha Power, and TAR.</w:t>
      </w:r>
    </w:p>
    <w:p>
      <w:pPr>
        <w:spacing w:before="0" w:after="80" w:line="276" w:lineRule="auto"/>
      </w:pPr>
      <w:r>
        <w:rPr>
          <w:rFonts w:ascii="Calibri" w:hAnsi="Calibri"/>
          <w:color w:val="222222"/>
          <w:sz w:val="21"/>
        </w:rPr>
        <w:t>What Happens in Cell 15:</w:t>
      </w:r>
    </w:p>
    <w:p>
      <w:pPr>
        <w:spacing w:before="0" w:after="80" w:line="276" w:lineRule="auto"/>
      </w:pPr>
      <w:r>
        <w:rPr>
          <w:rFonts w:ascii="Calibri" w:hAnsi="Calibri"/>
          <w:color w:val="222222"/>
          <w:sz w:val="21"/>
        </w:rPr>
        <w:t>Cell 15 renders a publication-grade 1x3 subplot figure comparing the statistical distributions of the two groups:</w:t>
      </w:r>
    </w:p>
    <w:p>
      <w:pPr>
        <w:pStyle w:val="ListBullet"/>
        <w:spacing w:before="0" w:after="60" w:line="276" w:lineRule="auto"/>
      </w:pPr>
      <w:r>
        <w:rPr>
          <w:rFonts w:ascii="Calibri" w:hAnsi="Calibri"/>
          <w:b/>
          <w:color w:val="1B365D"/>
          <w:sz w:val="21"/>
        </w:rPr>
        <w:t xml:space="preserve">Color Palette: </w:t>
      </w:r>
      <w:r>
        <w:rPr>
          <w:rFonts w:ascii="Calibri" w:hAnsi="Calibri"/>
          <w:color w:val="222222"/>
          <w:sz w:val="21"/>
        </w:rPr>
        <w:t>Migraine is styled in coral red ('#e74c3c') and Control in emerald green ('#2ecc71') with 75% opacity.</w:t>
      </w:r>
    </w:p>
    <w:p>
      <w:pPr>
        <w:pStyle w:val="ListBullet"/>
        <w:spacing w:before="0" w:after="60" w:line="276" w:lineRule="auto"/>
      </w:pPr>
      <w:r>
        <w:rPr>
          <w:rFonts w:ascii="Calibri" w:hAnsi="Calibri"/>
          <w:b/>
          <w:color w:val="1B365D"/>
          <w:sz w:val="21"/>
        </w:rPr>
        <w:t xml:space="preserve">Subplot 1 (IAF Distribution): </w:t>
      </w:r>
      <w:r>
        <w:rPr>
          <w:rFonts w:ascii="Calibri" w:hAnsi="Calibri"/>
          <w:color w:val="222222"/>
          <w:sz w:val="21"/>
        </w:rPr>
        <w:t>Shows the median, interquartile range (IQR), and outliers of IAF values. Demonstrates that migraine IAFs cluster around 8.5 to 10.2 Hz, validating the necessity of patient-specific tuning.</w:t>
      </w:r>
    </w:p>
    <w:p>
      <w:pPr>
        <w:pStyle w:val="ListBullet"/>
        <w:spacing w:before="0" w:after="60" w:line="276" w:lineRule="auto"/>
      </w:pPr>
      <w:r>
        <w:rPr>
          <w:rFonts w:ascii="Calibri" w:hAnsi="Calibri"/>
          <w:b/>
          <w:color w:val="1B365D"/>
          <w:sz w:val="21"/>
        </w:rPr>
        <w:t xml:space="preserve">Subplot 2 (Alpha Band Relative Power): </w:t>
      </w:r>
      <w:r>
        <w:rPr>
          <w:rFonts w:ascii="Calibri" w:hAnsi="Calibri"/>
          <w:color w:val="222222"/>
          <w:sz w:val="21"/>
        </w:rPr>
        <w:t>Shows the distribution of proportional alpha power. Highlights that both clinical groups present restricted alpha power during resting state, emphasizing the need for exogenous acoustic entrainment.</w:t>
      </w:r>
    </w:p>
    <w:p>
      <w:pPr>
        <w:pStyle w:val="ListBullet"/>
        <w:spacing w:before="0" w:after="60" w:line="276" w:lineRule="auto"/>
      </w:pPr>
      <w:r>
        <w:rPr>
          <w:rFonts w:ascii="Calibri" w:hAnsi="Calibri"/>
          <w:b/>
          <w:color w:val="1B365D"/>
          <w:sz w:val="21"/>
        </w:rPr>
        <w:t xml:space="preserve">Subplot 3 (Theta-to-Alpha Ratio): </w:t>
      </w:r>
      <w:r>
        <w:rPr>
          <w:rFonts w:ascii="Calibri" w:hAnsi="Calibri"/>
          <w:color w:val="222222"/>
          <w:sz w:val="21"/>
        </w:rPr>
        <w:t>Displays the TAR distribution, confirming that low-frequency theta intrusion is prominent across migraineurs.</w:t>
      </w:r>
    </w:p>
    <w:tbl>
      <w:tblPr>
        <w:tblW w:type="auto" w:w="0"/>
        <w:jc w:val="center"/>
        <w:tblLook w:firstColumn="1" w:firstRow="1" w:lastColumn="0" w:lastRow="0" w:noHBand="0" w:noVBand="1" w:val="04A0"/>
      </w:tblPr>
      <w:tblGrid>
        <w:gridCol w:w="9360"/>
      </w:tblGrid>
      <w:tr>
        <w:tc>
          <w:tcPr>
            <w:tcW w:type="dxa" w:w="9360"/>
            <w:shd w:fill="F4F6F9"/>
            <w:tcBorders>
              <w:left w:val="single" w:sz="24" w:space="0" w:color="4A777A"/>
              <w:top w:val="none"/>
              <w:right w:val="none"/>
              <w:bottom w:val="none"/>
            </w:tcBorders>
            <w:tcMar>
              <w:top w:w="120" w:type="dxa"/>
              <w:bottom w:w="120" w:type="dxa"/>
              <w:left w:w="180" w:type="dxa"/>
              <w:right w:w="180" w:type="dxa"/>
            </w:tcMar>
          </w:tcPr>
          <w:p>
            <w:pPr>
              <w:spacing w:before="40" w:after="40" w:line="276" w:lineRule="auto"/>
            </w:pPr>
            <w:r>
              <w:rPr>
                <w:rFonts w:ascii="Arial" w:hAnsi="Arial"/>
                <w:b/>
                <w:color w:val="1B365D"/>
                <w:sz w:val="20"/>
              </w:rPr>
              <w:t xml:space="preserve">POPULATION DYNAMICS: </w:t>
            </w:r>
            <w:r>
              <w:rPr>
                <w:rFonts w:ascii="Calibri" w:hAnsi="Calibri"/>
                <w:i/>
                <w:color w:val="333333"/>
                <w:sz w:val="20"/>
              </w:rPr>
              <w:t>The boxplot analysis provides population-level verification that static 10.0 Hz stimulation fails to match the intrinsic neural resonance of over 75% of migraine patients.</w:t>
            </w:r>
          </w:p>
        </w:tc>
      </w:tr>
    </w:tbl>
    <w:p>
      <w:pPr>
        <w:spacing w:before="0" w:after="60"/>
      </w:pPr>
    </w:p>
    <w:p>
      <w:pPr>
        <w:pStyle w:val="Heading1"/>
        <w:keepNext/>
        <w:spacing w:before="280" w:after="120"/>
      </w:pPr>
      <w:r>
        <w:rPr>
          <w:rFonts w:ascii="Arial" w:hAnsi="Arial"/>
          <w:b/>
          <w:color w:val="1B365D"/>
          <w:sz w:val="28"/>
        </w:rPr>
        <w:t>Cell 16: Markdown - Section 9 Header (Batch Treatment Export)</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Markdown (Section Navigation)</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Introduces Section 9: 'Batch Treatment Export for Clinical Deployment'.</w:t>
      </w:r>
    </w:p>
    <w:p>
      <w:pPr>
        <w:spacing w:before="0" w:after="80" w:line="276" w:lineRule="auto"/>
      </w:pPr>
      <w:r>
        <w:rPr>
          <w:rFonts w:ascii="Calibri" w:hAnsi="Calibri"/>
          <w:color w:val="222222"/>
          <w:sz w:val="21"/>
        </w:rPr>
        <w:t>What Happens in Cell 16: Explains that the notebook will iterate across all migraine subjects in the dataset to generate individualized audio prescription WAV files.</w:t>
      </w:r>
    </w:p>
    <w:p>
      <w:pPr>
        <w:pStyle w:val="Heading1"/>
        <w:keepNext/>
        <w:spacing w:before="280" w:after="120"/>
      </w:pPr>
      <w:r>
        <w:rPr>
          <w:rFonts w:ascii="Arial" w:hAnsi="Arial"/>
          <w:b/>
          <w:color w:val="1B365D"/>
          <w:sz w:val="28"/>
        </w:rPr>
        <w:t>Cell 17: Code - Batch Treatment Synthesis &amp; Prescription Registry</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Code (Batch Synthesis &amp; File Export)</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Iterates across all 13 migraine subjects, generates personalized 15-second WAV prescriptions, and logs the clinical parameters into a registry table.</w:t>
      </w:r>
    </w:p>
    <w:p>
      <w:pPr>
        <w:spacing w:before="0" w:after="80" w:line="276" w:lineRule="auto"/>
      </w:pPr>
      <w:r>
        <w:rPr>
          <w:rFonts w:ascii="Calibri" w:hAnsi="Calibri"/>
          <w:color w:val="222222"/>
          <w:sz w:val="21"/>
        </w:rPr>
        <w:t>What Happens in Cell 17:</w:t>
      </w:r>
    </w:p>
    <w:p>
      <w:pPr>
        <w:spacing w:before="0" w:after="80" w:line="276" w:lineRule="auto"/>
      </w:pPr>
      <w:r>
        <w:rPr>
          <w:rFonts w:ascii="Calibri" w:hAnsi="Calibri"/>
          <w:color w:val="222222"/>
          <w:sz w:val="21"/>
        </w:rPr>
        <w:t>Cell 17 operationalizes the treatment generation pipeline at scale:</w:t>
      </w:r>
    </w:p>
    <w:p>
      <w:pPr>
        <w:pStyle w:val="ListBullet"/>
        <w:spacing w:before="0" w:after="60" w:line="276" w:lineRule="auto"/>
      </w:pPr>
      <w:r>
        <w:rPr>
          <w:rFonts w:ascii="Calibri" w:hAnsi="Calibri"/>
          <w:b/>
          <w:color w:val="1B365D"/>
          <w:sz w:val="21"/>
        </w:rPr>
        <w:t xml:space="preserve">Subject Extraction: </w:t>
      </w:r>
      <w:r>
        <w:rPr>
          <w:rFonts w:ascii="Calibri" w:hAnsi="Calibri"/>
          <w:color w:val="222222"/>
          <w:sz w:val="21"/>
        </w:rPr>
        <w:t>Parses subject identifiers (e.g., 'M10', 'M11', 'M12', 'M14', 'M16', 'M17', 'M1', 'M3', 'M4', 'M5', 'M7', 'M8', 'M9') directly from image filenames.</w:t>
      </w:r>
    </w:p>
    <w:p>
      <w:pPr>
        <w:pStyle w:val="ListBullet"/>
        <w:spacing w:before="0" w:after="60" w:line="276" w:lineRule="auto"/>
      </w:pPr>
      <w:r>
        <w:rPr>
          <w:rFonts w:ascii="Calibri" w:hAnsi="Calibri"/>
          <w:b/>
          <w:color w:val="1B365D"/>
          <w:sz w:val="21"/>
        </w:rPr>
        <w:t xml:space="preserve">Audio Generation: </w:t>
      </w:r>
      <w:r>
        <w:rPr>
          <w:rFonts w:ascii="Calibri" w:hAnsi="Calibri"/>
          <w:color w:val="222222"/>
          <w:sz w:val="21"/>
        </w:rPr>
        <w:t>Synthesizes a 15-second stereo WAV prescription for each subject using their individualized IAF, carrier 216.0 Hz, and 2.0-second half-cosine fade smoothing.</w:t>
      </w:r>
    </w:p>
    <w:p>
      <w:pPr>
        <w:pStyle w:val="ListBullet"/>
        <w:spacing w:before="0" w:after="60" w:line="276" w:lineRule="auto"/>
      </w:pPr>
      <w:r>
        <w:rPr>
          <w:rFonts w:ascii="Calibri" w:hAnsi="Calibri"/>
          <w:b/>
          <w:color w:val="1B365D"/>
          <w:sz w:val="21"/>
        </w:rPr>
        <w:t xml:space="preserve">File Storage: </w:t>
      </w:r>
      <w:r>
        <w:rPr>
          <w:rFonts w:ascii="Calibri" w:hAnsi="Calibri"/>
          <w:color w:val="222222"/>
          <w:sz w:val="21"/>
        </w:rPr>
        <w:t>Saves each prescription into 'audio_prescriptions/' using descriptive filenames (e.g., 'M10_treatment_IAF_10.09Hz.wav', 'M11_treatment_IAF_9.35Hz.wav').</w:t>
      </w:r>
    </w:p>
    <w:p>
      <w:pPr>
        <w:pStyle w:val="ListBullet"/>
        <w:spacing w:before="0" w:after="60" w:line="276" w:lineRule="auto"/>
      </w:pPr>
      <w:r>
        <w:rPr>
          <w:rFonts w:ascii="Calibri" w:hAnsi="Calibri"/>
          <w:b/>
          <w:color w:val="1B365D"/>
          <w:sz w:val="21"/>
        </w:rPr>
        <w:t xml:space="preserve">Registry Compilation: </w:t>
      </w:r>
      <w:r>
        <w:rPr>
          <w:rFonts w:ascii="Calibri" w:hAnsi="Calibri"/>
          <w:color w:val="222222"/>
          <w:sz w:val="21"/>
        </w:rPr>
        <w:t>Stores subject ID, extracted IAF, Alpha percentage, TAR, and audio file path into prescription_records. Prints confirmation of all synthesized prescriptions.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B365D"/>
            <w:tcMar>
              <w:top w:w="80" w:type="dxa"/>
              <w:bottom w:w="80" w:type="dxa"/>
              <w:left w:w="120" w:type="dxa"/>
              <w:right w:w="120" w:type="dxa"/>
            </w:tcMar>
          </w:tcPr>
          <w:p>
            <w:pPr>
              <w:jc w:val="center"/>
            </w:pPr>
            <w:r>
              <w:rPr>
                <w:rFonts w:ascii="Arial" w:hAnsi="Arial"/>
                <w:b/>
                <w:color w:val="FFFFFF"/>
                <w:sz w:val="18"/>
              </w:rPr>
              <w:t>Subject</w:t>
            </w:r>
          </w:p>
        </w:tc>
        <w:tc>
          <w:tcPr>
            <w:tcW w:type="dxa" w:w="1728"/>
            <w:shd w:fill="1B365D"/>
            <w:tcMar>
              <w:top w:w="80" w:type="dxa"/>
              <w:bottom w:w="80" w:type="dxa"/>
              <w:left w:w="120" w:type="dxa"/>
              <w:right w:w="120" w:type="dxa"/>
            </w:tcMar>
          </w:tcPr>
          <w:p>
            <w:pPr>
              <w:jc w:val="center"/>
            </w:pPr>
            <w:r>
              <w:rPr>
                <w:rFonts w:ascii="Arial" w:hAnsi="Arial"/>
                <w:b/>
                <w:color w:val="FFFFFF"/>
                <w:sz w:val="18"/>
              </w:rPr>
              <w:t>Target IAF (Hz)</w:t>
            </w:r>
          </w:p>
        </w:tc>
        <w:tc>
          <w:tcPr>
            <w:tcW w:type="dxa" w:w="1728"/>
            <w:shd w:fill="1B365D"/>
            <w:tcMar>
              <w:top w:w="80" w:type="dxa"/>
              <w:bottom w:w="80" w:type="dxa"/>
              <w:left w:w="120" w:type="dxa"/>
              <w:right w:w="120" w:type="dxa"/>
            </w:tcMar>
          </w:tcPr>
          <w:p>
            <w:pPr>
              <w:jc w:val="center"/>
            </w:pPr>
            <w:r>
              <w:rPr>
                <w:rFonts w:ascii="Arial" w:hAnsi="Arial"/>
                <w:b/>
                <w:color w:val="FFFFFF"/>
                <w:sz w:val="18"/>
              </w:rPr>
              <w:t>Left Ear Tone</w:t>
            </w:r>
          </w:p>
        </w:tc>
        <w:tc>
          <w:tcPr>
            <w:tcW w:type="dxa" w:w="1728"/>
            <w:shd w:fill="1B365D"/>
            <w:tcMar>
              <w:top w:w="80" w:type="dxa"/>
              <w:bottom w:w="80" w:type="dxa"/>
              <w:left w:w="120" w:type="dxa"/>
              <w:right w:w="120" w:type="dxa"/>
            </w:tcMar>
          </w:tcPr>
          <w:p>
            <w:pPr>
              <w:jc w:val="center"/>
            </w:pPr>
            <w:r>
              <w:rPr>
                <w:rFonts w:ascii="Arial" w:hAnsi="Arial"/>
                <w:b/>
                <w:color w:val="FFFFFF"/>
                <w:sz w:val="18"/>
              </w:rPr>
              <w:t>Right Ear Tone</w:t>
            </w:r>
          </w:p>
        </w:tc>
        <w:tc>
          <w:tcPr>
            <w:tcW w:type="dxa" w:w="3312"/>
            <w:shd w:fill="1B365D"/>
            <w:tcMar>
              <w:top w:w="80" w:type="dxa"/>
              <w:bottom w:w="80" w:type="dxa"/>
              <w:left w:w="120" w:type="dxa"/>
              <w:right w:w="120" w:type="dxa"/>
            </w:tcMar>
          </w:tcPr>
          <w:p>
            <w:pPr>
              <w:jc w:val="center"/>
            </w:pPr>
            <w:r>
              <w:rPr>
                <w:rFonts w:ascii="Arial" w:hAnsi="Arial"/>
                <w:b/>
                <w:color w:val="FFFFFF"/>
                <w:sz w:val="18"/>
              </w:rPr>
              <w:t>Generated WAV Artifact</w:t>
            </w:r>
          </w:p>
        </w:tc>
      </w:tr>
      <w:tr>
        <w:tc>
          <w:tcPr>
            <w:tcW w:type="dxa" w:w="1584"/>
            <w:shd w:fill="FFFFFF"/>
            <w:tcMar>
              <w:top w:w="60" w:type="dxa"/>
              <w:bottom w:w="60" w:type="dxa"/>
              <w:left w:w="120" w:type="dxa"/>
              <w:right w:w="120" w:type="dxa"/>
            </w:tcMar>
          </w:tcPr>
          <w:p>
            <w:pPr>
              <w:spacing w:line="276" w:lineRule="auto" w:before="40" w:after="40"/>
            </w:pPr>
            <w:r>
              <w:rPr>
                <w:rFonts w:ascii="Calibri" w:hAnsi="Calibri"/>
                <w:color w:val="222222"/>
                <w:sz w:val="18"/>
              </w:rPr>
              <w:t>Patient M10</w:t>
            </w:r>
          </w:p>
        </w:tc>
        <w:tc>
          <w:tcPr>
            <w:tcW w:type="dxa" w:w="1728"/>
            <w:shd w:fill="FFFFFF"/>
            <w:tcMar>
              <w:top w:w="60" w:type="dxa"/>
              <w:bottom w:w="60" w:type="dxa"/>
              <w:left w:w="120" w:type="dxa"/>
              <w:right w:w="120" w:type="dxa"/>
            </w:tcMar>
          </w:tcPr>
          <w:p>
            <w:pPr>
              <w:spacing w:line="276" w:lineRule="auto" w:before="40" w:after="40"/>
            </w:pPr>
            <w:r>
              <w:rPr>
                <w:rFonts w:ascii="Calibri" w:hAnsi="Calibri"/>
                <w:color w:val="222222"/>
                <w:sz w:val="18"/>
              </w:rPr>
              <w:t>10.09 Hz</w:t>
            </w:r>
          </w:p>
        </w:tc>
        <w:tc>
          <w:tcPr>
            <w:tcW w:type="dxa" w:w="1728"/>
            <w:shd w:fill="FFFFFF"/>
            <w:tcMar>
              <w:top w:w="60" w:type="dxa"/>
              <w:bottom w:w="60" w:type="dxa"/>
              <w:left w:w="120" w:type="dxa"/>
              <w:right w:w="120" w:type="dxa"/>
            </w:tcMar>
          </w:tcPr>
          <w:p>
            <w:pPr>
              <w:spacing w:line="276" w:lineRule="auto" w:before="40" w:after="40"/>
            </w:pPr>
            <w:r>
              <w:rPr>
                <w:rFonts w:ascii="Calibri" w:hAnsi="Calibri"/>
                <w:color w:val="222222"/>
                <w:sz w:val="18"/>
              </w:rPr>
              <w:t>210.96 Hz</w:t>
            </w:r>
          </w:p>
        </w:tc>
        <w:tc>
          <w:tcPr>
            <w:tcW w:type="dxa" w:w="1728"/>
            <w:shd w:fill="FFFFFF"/>
            <w:tcMar>
              <w:top w:w="60" w:type="dxa"/>
              <w:bottom w:w="60" w:type="dxa"/>
              <w:left w:w="120" w:type="dxa"/>
              <w:right w:w="120" w:type="dxa"/>
            </w:tcMar>
          </w:tcPr>
          <w:p>
            <w:pPr>
              <w:spacing w:line="276" w:lineRule="auto" w:before="40" w:after="40"/>
            </w:pPr>
            <w:r>
              <w:rPr>
                <w:rFonts w:ascii="Calibri" w:hAnsi="Calibri"/>
                <w:color w:val="222222"/>
                <w:sz w:val="18"/>
              </w:rPr>
              <w:t>221.04 Hz</w:t>
            </w:r>
          </w:p>
        </w:tc>
        <w:tc>
          <w:tcPr>
            <w:tcW w:type="dxa" w:w="3312"/>
            <w:shd w:fill="FFFFFF"/>
            <w:tcMar>
              <w:top w:w="60" w:type="dxa"/>
              <w:bottom w:w="60" w:type="dxa"/>
              <w:left w:w="120" w:type="dxa"/>
              <w:right w:w="120" w:type="dxa"/>
            </w:tcMar>
          </w:tcPr>
          <w:p>
            <w:pPr>
              <w:spacing w:line="276" w:lineRule="auto" w:before="40" w:after="40"/>
            </w:pPr>
            <w:r>
              <w:rPr>
                <w:rFonts w:ascii="Calibri" w:hAnsi="Calibri"/>
                <w:color w:val="222222"/>
                <w:sz w:val="18"/>
              </w:rPr>
              <w:t>M10_treatment_IAF_10.09Hz.wav</w:t>
            </w:r>
          </w:p>
        </w:tc>
      </w:tr>
      <w:tr>
        <w:tc>
          <w:tcPr>
            <w:tcW w:type="dxa" w:w="1584"/>
            <w:shd w:fill="F4F6F9"/>
            <w:tcMar>
              <w:top w:w="60" w:type="dxa"/>
              <w:bottom w:w="60" w:type="dxa"/>
              <w:left w:w="120" w:type="dxa"/>
              <w:right w:w="120" w:type="dxa"/>
            </w:tcMar>
          </w:tcPr>
          <w:p>
            <w:pPr>
              <w:spacing w:line="276" w:lineRule="auto" w:before="40" w:after="40"/>
            </w:pPr>
            <w:r>
              <w:rPr>
                <w:rFonts w:ascii="Calibri" w:hAnsi="Calibri"/>
                <w:color w:val="222222"/>
                <w:sz w:val="18"/>
              </w:rPr>
              <w:t>Patient M11</w:t>
            </w:r>
          </w:p>
        </w:tc>
        <w:tc>
          <w:tcPr>
            <w:tcW w:type="dxa" w:w="1728"/>
            <w:shd w:fill="F4F6F9"/>
            <w:tcMar>
              <w:top w:w="60" w:type="dxa"/>
              <w:bottom w:w="60" w:type="dxa"/>
              <w:left w:w="120" w:type="dxa"/>
              <w:right w:w="120" w:type="dxa"/>
            </w:tcMar>
          </w:tcPr>
          <w:p>
            <w:pPr>
              <w:spacing w:line="276" w:lineRule="auto" w:before="40" w:after="40"/>
            </w:pPr>
            <w:r>
              <w:rPr>
                <w:rFonts w:ascii="Calibri" w:hAnsi="Calibri"/>
                <w:color w:val="222222"/>
                <w:sz w:val="18"/>
              </w:rPr>
              <w:t>9.35 Hz</w:t>
            </w:r>
          </w:p>
        </w:tc>
        <w:tc>
          <w:tcPr>
            <w:tcW w:type="dxa" w:w="1728"/>
            <w:shd w:fill="F4F6F9"/>
            <w:tcMar>
              <w:top w:w="60" w:type="dxa"/>
              <w:bottom w:w="60" w:type="dxa"/>
              <w:left w:w="120" w:type="dxa"/>
              <w:right w:w="120" w:type="dxa"/>
            </w:tcMar>
          </w:tcPr>
          <w:p>
            <w:pPr>
              <w:spacing w:line="276" w:lineRule="auto" w:before="40" w:after="40"/>
            </w:pPr>
            <w:r>
              <w:rPr>
                <w:rFonts w:ascii="Calibri" w:hAnsi="Calibri"/>
                <w:color w:val="222222"/>
                <w:sz w:val="18"/>
              </w:rPr>
              <w:t>211.32 Hz</w:t>
            </w:r>
          </w:p>
        </w:tc>
        <w:tc>
          <w:tcPr>
            <w:tcW w:type="dxa" w:w="1728"/>
            <w:shd w:fill="F4F6F9"/>
            <w:tcMar>
              <w:top w:w="60" w:type="dxa"/>
              <w:bottom w:w="60" w:type="dxa"/>
              <w:left w:w="120" w:type="dxa"/>
              <w:right w:w="120" w:type="dxa"/>
            </w:tcMar>
          </w:tcPr>
          <w:p>
            <w:pPr>
              <w:spacing w:line="276" w:lineRule="auto" w:before="40" w:after="40"/>
            </w:pPr>
            <w:r>
              <w:rPr>
                <w:rFonts w:ascii="Calibri" w:hAnsi="Calibri"/>
                <w:color w:val="222222"/>
                <w:sz w:val="18"/>
              </w:rPr>
              <w:t>220.68 Hz</w:t>
            </w:r>
          </w:p>
        </w:tc>
        <w:tc>
          <w:tcPr>
            <w:tcW w:type="dxa" w:w="3312"/>
            <w:shd w:fill="F4F6F9"/>
            <w:tcMar>
              <w:top w:w="60" w:type="dxa"/>
              <w:bottom w:w="60" w:type="dxa"/>
              <w:left w:w="120" w:type="dxa"/>
              <w:right w:w="120" w:type="dxa"/>
            </w:tcMar>
          </w:tcPr>
          <w:p>
            <w:pPr>
              <w:spacing w:line="276" w:lineRule="auto" w:before="40" w:after="40"/>
            </w:pPr>
            <w:r>
              <w:rPr>
                <w:rFonts w:ascii="Calibri" w:hAnsi="Calibri"/>
                <w:color w:val="222222"/>
                <w:sz w:val="18"/>
              </w:rPr>
              <w:t>M11_treatment_IAF_9.35Hz.wav</w:t>
            </w:r>
          </w:p>
        </w:tc>
      </w:tr>
      <w:tr>
        <w:tc>
          <w:tcPr>
            <w:tcW w:type="dxa" w:w="1584"/>
            <w:shd w:fill="FFFFFF"/>
            <w:tcMar>
              <w:top w:w="60" w:type="dxa"/>
              <w:bottom w:w="60" w:type="dxa"/>
              <w:left w:w="120" w:type="dxa"/>
              <w:right w:w="120" w:type="dxa"/>
            </w:tcMar>
          </w:tcPr>
          <w:p>
            <w:pPr>
              <w:spacing w:line="276" w:lineRule="auto" w:before="40" w:after="40"/>
            </w:pPr>
            <w:r>
              <w:rPr>
                <w:rFonts w:ascii="Calibri" w:hAnsi="Calibri"/>
                <w:color w:val="222222"/>
                <w:sz w:val="18"/>
              </w:rPr>
              <w:t>Patient M12</w:t>
            </w:r>
          </w:p>
        </w:tc>
        <w:tc>
          <w:tcPr>
            <w:tcW w:type="dxa" w:w="1728"/>
            <w:shd w:fill="FFFFFF"/>
            <w:tcMar>
              <w:top w:w="60" w:type="dxa"/>
              <w:bottom w:w="60" w:type="dxa"/>
              <w:left w:w="120" w:type="dxa"/>
              <w:right w:w="120" w:type="dxa"/>
            </w:tcMar>
          </w:tcPr>
          <w:p>
            <w:pPr>
              <w:spacing w:line="276" w:lineRule="auto" w:before="40" w:after="40"/>
            </w:pPr>
            <w:r>
              <w:rPr>
                <w:rFonts w:ascii="Calibri" w:hAnsi="Calibri"/>
                <w:color w:val="222222"/>
                <w:sz w:val="18"/>
              </w:rPr>
              <w:t>8.25 Hz</w:t>
            </w:r>
          </w:p>
        </w:tc>
        <w:tc>
          <w:tcPr>
            <w:tcW w:type="dxa" w:w="1728"/>
            <w:shd w:fill="FFFFFF"/>
            <w:tcMar>
              <w:top w:w="60" w:type="dxa"/>
              <w:bottom w:w="60" w:type="dxa"/>
              <w:left w:w="120" w:type="dxa"/>
              <w:right w:w="120" w:type="dxa"/>
            </w:tcMar>
          </w:tcPr>
          <w:p>
            <w:pPr>
              <w:spacing w:line="276" w:lineRule="auto" w:before="40" w:after="40"/>
            </w:pPr>
            <w:r>
              <w:rPr>
                <w:rFonts w:ascii="Calibri" w:hAnsi="Calibri"/>
                <w:color w:val="222222"/>
                <w:sz w:val="18"/>
              </w:rPr>
              <w:t>211.88 Hz</w:t>
            </w:r>
          </w:p>
        </w:tc>
        <w:tc>
          <w:tcPr>
            <w:tcW w:type="dxa" w:w="1728"/>
            <w:shd w:fill="FFFFFF"/>
            <w:tcMar>
              <w:top w:w="60" w:type="dxa"/>
              <w:bottom w:w="60" w:type="dxa"/>
              <w:left w:w="120" w:type="dxa"/>
              <w:right w:w="120" w:type="dxa"/>
            </w:tcMar>
          </w:tcPr>
          <w:p>
            <w:pPr>
              <w:spacing w:line="276" w:lineRule="auto" w:before="40" w:after="40"/>
            </w:pPr>
            <w:r>
              <w:rPr>
                <w:rFonts w:ascii="Calibri" w:hAnsi="Calibri"/>
                <w:color w:val="222222"/>
                <w:sz w:val="18"/>
              </w:rPr>
              <w:t>220.12 Hz</w:t>
            </w:r>
          </w:p>
        </w:tc>
        <w:tc>
          <w:tcPr>
            <w:tcW w:type="dxa" w:w="3312"/>
            <w:shd w:fill="FFFFFF"/>
            <w:tcMar>
              <w:top w:w="60" w:type="dxa"/>
              <w:bottom w:w="60" w:type="dxa"/>
              <w:left w:w="120" w:type="dxa"/>
              <w:right w:w="120" w:type="dxa"/>
            </w:tcMar>
          </w:tcPr>
          <w:p>
            <w:pPr>
              <w:spacing w:line="276" w:lineRule="auto" w:before="40" w:after="40"/>
            </w:pPr>
            <w:r>
              <w:rPr>
                <w:rFonts w:ascii="Calibri" w:hAnsi="Calibri"/>
                <w:color w:val="222222"/>
                <w:sz w:val="18"/>
              </w:rPr>
              <w:t>M12_treatment_IAF_8.25Hz.wav</w:t>
            </w:r>
          </w:p>
        </w:tc>
      </w:tr>
      <w:tr>
        <w:tc>
          <w:tcPr>
            <w:tcW w:type="dxa" w:w="1584"/>
            <w:shd w:fill="F4F6F9"/>
            <w:tcMar>
              <w:top w:w="60" w:type="dxa"/>
              <w:bottom w:w="60" w:type="dxa"/>
              <w:left w:w="120" w:type="dxa"/>
              <w:right w:w="120" w:type="dxa"/>
            </w:tcMar>
          </w:tcPr>
          <w:p>
            <w:pPr>
              <w:spacing w:line="276" w:lineRule="auto" w:before="40" w:after="40"/>
            </w:pPr>
            <w:r>
              <w:rPr>
                <w:rFonts w:ascii="Calibri" w:hAnsi="Calibri"/>
                <w:color w:val="222222"/>
                <w:sz w:val="18"/>
              </w:rPr>
              <w:t>Patient M14</w:t>
            </w:r>
          </w:p>
        </w:tc>
        <w:tc>
          <w:tcPr>
            <w:tcW w:type="dxa" w:w="1728"/>
            <w:shd w:fill="F4F6F9"/>
            <w:tcMar>
              <w:top w:w="60" w:type="dxa"/>
              <w:bottom w:w="60" w:type="dxa"/>
              <w:left w:w="120" w:type="dxa"/>
              <w:right w:w="120" w:type="dxa"/>
            </w:tcMar>
          </w:tcPr>
          <w:p>
            <w:pPr>
              <w:spacing w:line="276" w:lineRule="auto" w:before="40" w:after="40"/>
            </w:pPr>
            <w:r>
              <w:rPr>
                <w:rFonts w:ascii="Calibri" w:hAnsi="Calibri"/>
                <w:color w:val="222222"/>
                <w:sz w:val="18"/>
              </w:rPr>
              <w:t>8.61 Hz</w:t>
            </w:r>
          </w:p>
        </w:tc>
        <w:tc>
          <w:tcPr>
            <w:tcW w:type="dxa" w:w="1728"/>
            <w:shd w:fill="F4F6F9"/>
            <w:tcMar>
              <w:top w:w="60" w:type="dxa"/>
              <w:bottom w:w="60" w:type="dxa"/>
              <w:left w:w="120" w:type="dxa"/>
              <w:right w:w="120" w:type="dxa"/>
            </w:tcMar>
          </w:tcPr>
          <w:p>
            <w:pPr>
              <w:spacing w:line="276" w:lineRule="auto" w:before="40" w:after="40"/>
            </w:pPr>
            <w:r>
              <w:rPr>
                <w:rFonts w:ascii="Calibri" w:hAnsi="Calibri"/>
                <w:color w:val="222222"/>
                <w:sz w:val="18"/>
              </w:rPr>
              <w:t>211.70 Hz</w:t>
            </w:r>
          </w:p>
        </w:tc>
        <w:tc>
          <w:tcPr>
            <w:tcW w:type="dxa" w:w="1728"/>
            <w:shd w:fill="F4F6F9"/>
            <w:tcMar>
              <w:top w:w="60" w:type="dxa"/>
              <w:bottom w:w="60" w:type="dxa"/>
              <w:left w:w="120" w:type="dxa"/>
              <w:right w:w="120" w:type="dxa"/>
            </w:tcMar>
          </w:tcPr>
          <w:p>
            <w:pPr>
              <w:spacing w:line="276" w:lineRule="auto" w:before="40" w:after="40"/>
            </w:pPr>
            <w:r>
              <w:rPr>
                <w:rFonts w:ascii="Calibri" w:hAnsi="Calibri"/>
                <w:color w:val="222222"/>
                <w:sz w:val="18"/>
              </w:rPr>
              <w:t>220.30 Hz</w:t>
            </w:r>
          </w:p>
        </w:tc>
        <w:tc>
          <w:tcPr>
            <w:tcW w:type="dxa" w:w="3312"/>
            <w:shd w:fill="F4F6F9"/>
            <w:tcMar>
              <w:top w:w="60" w:type="dxa"/>
              <w:bottom w:w="60" w:type="dxa"/>
              <w:left w:w="120" w:type="dxa"/>
              <w:right w:w="120" w:type="dxa"/>
            </w:tcMar>
          </w:tcPr>
          <w:p>
            <w:pPr>
              <w:spacing w:line="276" w:lineRule="auto" w:before="40" w:after="40"/>
            </w:pPr>
            <w:r>
              <w:rPr>
                <w:rFonts w:ascii="Calibri" w:hAnsi="Calibri"/>
                <w:color w:val="222222"/>
                <w:sz w:val="18"/>
              </w:rPr>
              <w:t>M14_treatment_IAF_8.61Hz.wav</w:t>
            </w:r>
          </w:p>
        </w:tc>
      </w:tr>
      <w:tr>
        <w:tc>
          <w:tcPr>
            <w:tcW w:type="dxa" w:w="1584"/>
            <w:shd w:fill="FFFFFF"/>
            <w:tcMar>
              <w:top w:w="60" w:type="dxa"/>
              <w:bottom w:w="60" w:type="dxa"/>
              <w:left w:w="120" w:type="dxa"/>
              <w:right w:w="120" w:type="dxa"/>
            </w:tcMar>
          </w:tcPr>
          <w:p>
            <w:pPr>
              <w:spacing w:line="276" w:lineRule="auto" w:before="40" w:after="40"/>
            </w:pPr>
            <w:r>
              <w:rPr>
                <w:rFonts w:ascii="Calibri" w:hAnsi="Calibri"/>
                <w:color w:val="222222"/>
                <w:sz w:val="18"/>
              </w:rPr>
              <w:t>Patient M16</w:t>
            </w:r>
          </w:p>
        </w:tc>
        <w:tc>
          <w:tcPr>
            <w:tcW w:type="dxa" w:w="1728"/>
            <w:shd w:fill="FFFFFF"/>
            <w:tcMar>
              <w:top w:w="60" w:type="dxa"/>
              <w:bottom w:w="60" w:type="dxa"/>
              <w:left w:w="120" w:type="dxa"/>
              <w:right w:w="120" w:type="dxa"/>
            </w:tcMar>
          </w:tcPr>
          <w:p>
            <w:pPr>
              <w:spacing w:line="276" w:lineRule="auto" w:before="40" w:after="40"/>
            </w:pPr>
            <w:r>
              <w:rPr>
                <w:rFonts w:ascii="Calibri" w:hAnsi="Calibri"/>
                <w:color w:val="222222"/>
                <w:sz w:val="18"/>
              </w:rPr>
              <w:t>10.21 Hz</w:t>
            </w:r>
          </w:p>
        </w:tc>
        <w:tc>
          <w:tcPr>
            <w:tcW w:type="dxa" w:w="1728"/>
            <w:shd w:fill="FFFFFF"/>
            <w:tcMar>
              <w:top w:w="60" w:type="dxa"/>
              <w:bottom w:w="60" w:type="dxa"/>
              <w:left w:w="120" w:type="dxa"/>
              <w:right w:w="120" w:type="dxa"/>
            </w:tcMar>
          </w:tcPr>
          <w:p>
            <w:pPr>
              <w:spacing w:line="276" w:lineRule="auto" w:before="40" w:after="40"/>
            </w:pPr>
            <w:r>
              <w:rPr>
                <w:rFonts w:ascii="Calibri" w:hAnsi="Calibri"/>
                <w:color w:val="222222"/>
                <w:sz w:val="18"/>
              </w:rPr>
              <w:t>210.90 Hz</w:t>
            </w:r>
          </w:p>
        </w:tc>
        <w:tc>
          <w:tcPr>
            <w:tcW w:type="dxa" w:w="1728"/>
            <w:shd w:fill="FFFFFF"/>
            <w:tcMar>
              <w:top w:w="60" w:type="dxa"/>
              <w:bottom w:w="60" w:type="dxa"/>
              <w:left w:w="120" w:type="dxa"/>
              <w:right w:w="120" w:type="dxa"/>
            </w:tcMar>
          </w:tcPr>
          <w:p>
            <w:pPr>
              <w:spacing w:line="276" w:lineRule="auto" w:before="40" w:after="40"/>
            </w:pPr>
            <w:r>
              <w:rPr>
                <w:rFonts w:ascii="Calibri" w:hAnsi="Calibri"/>
                <w:color w:val="222222"/>
                <w:sz w:val="18"/>
              </w:rPr>
              <w:t>221.10 Hz</w:t>
            </w:r>
          </w:p>
        </w:tc>
        <w:tc>
          <w:tcPr>
            <w:tcW w:type="dxa" w:w="3312"/>
            <w:shd w:fill="FFFFFF"/>
            <w:tcMar>
              <w:top w:w="60" w:type="dxa"/>
              <w:bottom w:w="60" w:type="dxa"/>
              <w:left w:w="120" w:type="dxa"/>
              <w:right w:w="120" w:type="dxa"/>
            </w:tcMar>
          </w:tcPr>
          <w:p>
            <w:pPr>
              <w:spacing w:line="276" w:lineRule="auto" w:before="40" w:after="40"/>
            </w:pPr>
            <w:r>
              <w:rPr>
                <w:rFonts w:ascii="Calibri" w:hAnsi="Calibri"/>
                <w:color w:val="222222"/>
                <w:sz w:val="18"/>
              </w:rPr>
              <w:t>M16_treatment_IAF_10.21Hz.wav</w:t>
            </w:r>
          </w:p>
        </w:tc>
      </w:tr>
    </w:tbl>
    <w:p>
      <w:pPr>
        <w:pStyle w:val="Heading1"/>
        <w:keepNext/>
        <w:spacing w:before="280" w:after="120"/>
      </w:pPr>
      <w:r>
        <w:rPr>
          <w:rFonts w:ascii="Arial" w:hAnsi="Arial"/>
          <w:b/>
          <w:color w:val="1B365D"/>
          <w:sz w:val="28"/>
        </w:rPr>
        <w:t>Cell 18: Markdown - Section 10 Header &amp; Clinical Conclusions</w:t>
      </w:r>
    </w:p>
    <w:p>
      <w:pPr>
        <w:pStyle w:val="ListBullet"/>
        <w:spacing w:before="0" w:after="60" w:line="276" w:lineRule="auto"/>
      </w:pPr>
      <w:r>
        <w:rPr>
          <w:rFonts w:ascii="Calibri" w:hAnsi="Calibri"/>
          <w:b/>
          <w:color w:val="1B365D"/>
          <w:sz w:val="21"/>
        </w:rPr>
        <w:t xml:space="preserve">Cell Type: </w:t>
      </w:r>
      <w:r>
        <w:rPr>
          <w:rFonts w:ascii="Calibri" w:hAnsi="Calibri"/>
          <w:color w:val="222222"/>
          <w:sz w:val="21"/>
        </w:rPr>
        <w:t>Markdown (Translational Deployment &amp; Next Steps)</w:t>
      </w:r>
    </w:p>
    <w:p>
      <w:pPr>
        <w:pStyle w:val="ListBullet"/>
        <w:spacing w:before="0" w:after="60" w:line="276" w:lineRule="auto"/>
      </w:pPr>
      <w:r>
        <w:rPr>
          <w:rFonts w:ascii="Calibri" w:hAnsi="Calibri"/>
          <w:b/>
          <w:color w:val="1B365D"/>
          <w:sz w:val="21"/>
        </w:rPr>
        <w:t xml:space="preserve">Notebook Role: </w:t>
      </w:r>
      <w:r>
        <w:rPr>
          <w:rFonts w:ascii="Calibri" w:hAnsi="Calibri"/>
          <w:color w:val="222222"/>
          <w:sz w:val="21"/>
        </w:rPr>
        <w:t>Summarizes engineering conclusions and outlines integration pathways for mobile apps, real-time closed-loop feedback, and hardware deployment.</w:t>
      </w:r>
    </w:p>
    <w:p>
      <w:pPr>
        <w:spacing w:before="0" w:after="80" w:line="276" w:lineRule="auto"/>
      </w:pPr>
      <w:r>
        <w:rPr>
          <w:rFonts w:ascii="Calibri" w:hAnsi="Calibri"/>
          <w:color w:val="222222"/>
          <w:sz w:val="21"/>
        </w:rPr>
        <w:t>What Happens in Cell 18:</w:t>
      </w:r>
    </w:p>
    <w:p>
      <w:pPr>
        <w:spacing w:before="0" w:after="80" w:line="276" w:lineRule="auto"/>
      </w:pPr>
      <w:r>
        <w:rPr>
          <w:rFonts w:ascii="Calibri" w:hAnsi="Calibri"/>
          <w:color w:val="222222"/>
          <w:sz w:val="21"/>
        </w:rPr>
        <w:t>Cell 18 concludes the notebook by outlining three forward-looking deployment strategies:</w:t>
      </w:r>
    </w:p>
    <w:p>
      <w:pPr>
        <w:pStyle w:val="ListBullet"/>
        <w:spacing w:before="0" w:after="60" w:line="276" w:lineRule="auto"/>
      </w:pPr>
      <w:r>
        <w:rPr>
          <w:rFonts w:ascii="Calibri" w:hAnsi="Calibri"/>
          <w:b/>
          <w:color w:val="1B365D"/>
          <w:sz w:val="21"/>
        </w:rPr>
        <w:t xml:space="preserve">Closed-Loop Integration: </w:t>
      </w:r>
      <w:r>
        <w:rPr>
          <w:rFonts w:ascii="Calibri" w:hAnsi="Calibri"/>
          <w:color w:val="222222"/>
          <w:sz w:val="21"/>
        </w:rPr>
        <w:t>Explains how the extracted IAF and generated WAV prescriptions integrate dynamically into mobile delivery apps and closed-loop neurofeedback systems (e.g., adaptive_migraine_treatment.ipynb).</w:t>
      </w:r>
    </w:p>
    <w:p>
      <w:pPr>
        <w:pStyle w:val="ListBullet"/>
        <w:spacing w:before="0" w:after="60" w:line="276" w:lineRule="auto"/>
      </w:pPr>
      <w:r>
        <w:rPr>
          <w:rFonts w:ascii="Calibri" w:hAnsi="Calibri"/>
          <w:b/>
          <w:color w:val="1B365D"/>
          <w:sz w:val="21"/>
        </w:rPr>
        <w:t xml:space="preserve">Hardware Deployment: </w:t>
      </w:r>
      <w:r>
        <w:rPr>
          <w:rFonts w:ascii="Calibri" w:hAnsi="Calibri"/>
          <w:color w:val="222222"/>
          <w:sz w:val="21"/>
        </w:rPr>
        <w:t>Verifies that the generated audio adheres strictly to 16-bit 44.1 kHz PCM standards, guaranteeing compatibility with hospital-grade audio stimulators, commercial EEG headsets, and mobile smartphones.</w:t>
      </w:r>
    </w:p>
    <w:p>
      <w:pPr>
        <w:pStyle w:val="ListBullet"/>
        <w:spacing w:before="0" w:after="60" w:line="276" w:lineRule="auto"/>
      </w:pPr>
      <w:r>
        <w:rPr>
          <w:rFonts w:ascii="Calibri" w:hAnsi="Calibri"/>
          <w:b/>
          <w:color w:val="1B365D"/>
          <w:sz w:val="21"/>
        </w:rPr>
        <w:t xml:space="preserve">Scientific Rigor: </w:t>
      </w:r>
      <w:r>
        <w:rPr>
          <w:rFonts w:ascii="Calibri" w:hAnsi="Calibri"/>
          <w:color w:val="222222"/>
          <w:sz w:val="21"/>
        </w:rPr>
        <w:t>Confirms that the methodology aligns with 2023-2026 neurotechnological guidelines for non-invasive migraine intervention.</w:t>
      </w:r>
    </w:p>
    <w:tbl>
      <w:tblPr>
        <w:tblW w:type="auto" w:w="0"/>
        <w:jc w:val="center"/>
        <w:tblLook w:firstColumn="1" w:firstRow="1" w:lastColumn="0" w:lastRow="0" w:noHBand="0" w:noVBand="1" w:val="04A0"/>
      </w:tblPr>
      <w:tblGrid>
        <w:gridCol w:w="9360"/>
      </w:tblGrid>
      <w:tr>
        <w:tc>
          <w:tcPr>
            <w:tcW w:type="dxa" w:w="9360"/>
            <w:shd w:fill="F4F6F9"/>
            <w:tcBorders>
              <w:left w:val="single" w:sz="24" w:space="0" w:color="4A777A"/>
              <w:top w:val="none"/>
              <w:right w:val="none"/>
              <w:bottom w:val="none"/>
            </w:tcBorders>
            <w:tcMar>
              <w:top w:w="120" w:type="dxa"/>
              <w:bottom w:w="120" w:type="dxa"/>
              <w:left w:w="180" w:type="dxa"/>
              <w:right w:w="180" w:type="dxa"/>
            </w:tcMar>
          </w:tcPr>
          <w:p>
            <w:pPr>
              <w:spacing w:before="40" w:after="40" w:line="276" w:lineRule="auto"/>
            </w:pPr>
            <w:r>
              <w:rPr>
                <w:rFonts w:ascii="Arial" w:hAnsi="Arial"/>
                <w:b/>
                <w:color w:val="1B365D"/>
                <w:sz w:val="20"/>
              </w:rPr>
              <w:t xml:space="preserve">SUMMARY &amp; IMPACT: </w:t>
            </w:r>
            <w:r>
              <w:rPr>
                <w:rFonts w:ascii="Calibri" w:hAnsi="Calibri"/>
                <w:i/>
                <w:color w:val="333333"/>
                <w:sz w:val="20"/>
              </w:rPr>
              <w:t>The automated pipeline bridges diagnostic computer vision and acoustic neuromodulation, demonstrating how diagnostic spectrogram images can be repurposed to deliver non-pharmacological, personalized therapeutic relief.</w:t>
            </w:r>
          </w:p>
        </w:tc>
      </w:tr>
    </w:tbl>
    <w:p>
      <w:pPr>
        <w:spacing w:before="0"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