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E145" w14:textId="77777777" w:rsidR="007419C5" w:rsidRDefault="00000000">
      <w:pPr>
        <w:spacing w:after="40"/>
      </w:pPr>
      <w:r>
        <w:rPr>
          <w:rFonts w:ascii="Arial" w:hAnsi="Arial"/>
          <w:b/>
          <w:color w:val="1B365D"/>
          <w:sz w:val="44"/>
        </w:rPr>
        <w:t>Personalized Migraine Mitigation via EEG Spectrogram Inversion &amp; Auditory Cortical Entrainment</w:t>
      </w:r>
    </w:p>
    <w:p w14:paraId="0CECD1E3" w14:textId="77777777" w:rsidR="007419C5" w:rsidRDefault="00000000">
      <w:pPr>
        <w:spacing w:before="40" w:after="240"/>
      </w:pPr>
      <w:r>
        <w:rPr>
          <w:rFonts w:ascii="Arial" w:hAnsi="Arial"/>
          <w:i/>
          <w:color w:val="4A777A"/>
          <w:sz w:val="26"/>
        </w:rPr>
        <w:t>Signal Processing Formulation, Neurological Rationale, and Treatment Synthesis Framework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419C5" w14:paraId="5565F55F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9F51" w14:textId="77777777" w:rsidR="007419C5" w:rsidRDefault="00000000">
            <w:r>
              <w:rPr>
                <w:b/>
                <w:sz w:val="19"/>
              </w:rPr>
              <w:t xml:space="preserve">Project: </w:t>
            </w:r>
            <w:r>
              <w:rPr>
                <w:sz w:val="19"/>
              </w:rPr>
              <w:t>Final Year Design Project (FYDP-III)</w:t>
            </w:r>
          </w:p>
        </w:tc>
        <w:tc>
          <w:tcPr>
            <w:tcW w:w="46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ECEC" w14:textId="77777777" w:rsidR="007419C5" w:rsidRDefault="00000000">
            <w:r>
              <w:rPr>
                <w:b/>
                <w:sz w:val="19"/>
              </w:rPr>
              <w:t xml:space="preserve">Document Scope: </w:t>
            </w:r>
            <w:r>
              <w:rPr>
                <w:sz w:val="19"/>
              </w:rPr>
              <w:t>Mathematical Formulation &amp; Technical Report</w:t>
            </w:r>
          </w:p>
        </w:tc>
      </w:tr>
      <w:tr w:rsidR="007419C5" w14:paraId="1CC65A57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1CF8" w14:textId="77777777" w:rsidR="007419C5" w:rsidRDefault="00000000">
            <w:r>
              <w:rPr>
                <w:b/>
                <w:sz w:val="19"/>
              </w:rPr>
              <w:t xml:space="preserve">Target Disorder: </w:t>
            </w:r>
            <w:r>
              <w:rPr>
                <w:sz w:val="19"/>
              </w:rPr>
              <w:t>Migraine (Thalamocortical Dysrhythmia &amp; Alpha Deficit)</w:t>
            </w:r>
          </w:p>
        </w:tc>
        <w:tc>
          <w:tcPr>
            <w:tcW w:w="46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3FAC" w14:textId="77777777" w:rsidR="007419C5" w:rsidRDefault="00000000">
            <w:r>
              <w:rPr>
                <w:b/>
                <w:sz w:val="19"/>
              </w:rPr>
              <w:t xml:space="preserve">Acoustic Modality: </w:t>
            </w:r>
            <w:r>
              <w:rPr>
                <w:sz w:val="19"/>
              </w:rPr>
              <w:t>Personalized IAF Binaural Beat Entrainment</w:t>
            </w:r>
          </w:p>
        </w:tc>
      </w:tr>
    </w:tbl>
    <w:p w14:paraId="00847F92" w14:textId="77777777" w:rsidR="007419C5" w:rsidRDefault="007419C5">
      <w:pPr>
        <w:spacing w:after="160"/>
      </w:pPr>
    </w:p>
    <w:p w14:paraId="761EADD9" w14:textId="77777777" w:rsidR="007419C5" w:rsidRDefault="00000000">
      <w:pPr>
        <w:pStyle w:val="Heading1"/>
        <w:spacing w:before="280" w:after="120"/>
      </w:pPr>
      <w:r>
        <w:rPr>
          <w:rFonts w:ascii="Arial" w:hAnsi="Arial"/>
          <w:color w:val="1B365D"/>
          <w:sz w:val="30"/>
        </w:rPr>
        <w:t>Executive Summary</w:t>
      </w:r>
    </w:p>
    <w:p w14:paraId="12004550" w14:textId="77777777" w:rsidR="007419C5" w:rsidRDefault="00000000">
      <w:pPr>
        <w:spacing w:after="80"/>
      </w:pPr>
      <w:r>
        <w:rPr>
          <w:rFonts w:ascii="Calibri" w:hAnsi="Calibri"/>
          <w:color w:val="222222"/>
        </w:rPr>
        <w:t>This engineering reference and clinical justification document defines the rigorous mathematical formulation and signal processing methodology for extracting patient-specific neurophysiological markers directly from EEG time-frequency spectrogram images to synthesize customized binaural beat acoustic prescriptions for migraine mitigation. Migraine is a debilitating neurovascular disorder characterized by cortical hyperexcitability, abnormal sensory gating, and thalamocortical dysrhythmia (TCD). In resting-state electroencephalography (EEG), this pathological state is manifested primarily as an individualized alpha power deficit accompanied by elevated theta and high-frequency beta/gamma reactivity.</w:t>
      </w:r>
    </w:p>
    <w:p w14:paraId="2F6FC73C" w14:textId="77777777" w:rsidR="007419C5" w:rsidRDefault="00000000">
      <w:pPr>
        <w:spacing w:after="80"/>
      </w:pPr>
      <w:r>
        <w:rPr>
          <w:rFonts w:ascii="Calibri" w:hAnsi="Calibri"/>
          <w:color w:val="222222"/>
        </w:rPr>
        <w:t>By exploiting high-resolution time-frequency spectrograms generated from the CMU migraine electrophysiological repository (6000 x 2400 pixels, Viridis colormap, spanning 1.0 Hz to 50.0 Hz), this architecture applies closed-form colormap inversion and spectral projection. This bypasses the operational requirement of manipulating multi-gigabyte raw BDF recording files during edge deployment while maintaining sub-0.1 Hz frequency resolution. The pipeline automatically calculates the patient's exact Individual Alpha Peak Frequency (IAF), evaluates diagnostic dysrhythmia indices (Theta-to-Alpha Ratio [TAR] and Theta-to-Beta Ratio [TBR]), and synthesizes calibrated stereo acoustic stimuli (fc = 216.0 Hz carrier, Δf = IAF) with click-free half-cosine window envelopes.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419C5" w14:paraId="6B53D3EA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3B12F9" w14:textId="77777777" w:rsidR="007419C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21"/>
              </w:rPr>
              <w:t xml:space="preserve">PRIMARY CLINICAL RATIONALE: </w:t>
            </w:r>
            <w:r>
              <w:rPr>
                <w:rFonts w:ascii="Calibri" w:hAnsi="Calibri"/>
                <w:i/>
                <w:color w:val="333333"/>
                <w:sz w:val="21"/>
              </w:rPr>
              <w:t>Migraine pathology is intrinsically coupled to an uncoupling of thalamocortical oscillatory pacing, manifesting electrophysiologically as attenuated alpha (8-13 Hz) power and excessive slow-wave theta intrusion. Delivery of acoustic binaural beats tuned precisely to each patient's Individual Alpha Frequency (IAF) triggers ascending brainstem phase-locking that reinstates thalamic inhibitory drive.</w:t>
            </w:r>
          </w:p>
        </w:tc>
      </w:tr>
    </w:tbl>
    <w:p w14:paraId="09F5A2C9" w14:textId="77777777" w:rsidR="007419C5" w:rsidRDefault="007419C5">
      <w:pPr>
        <w:spacing w:after="80"/>
      </w:pPr>
    </w:p>
    <w:p w14:paraId="2F72A65A" w14:textId="77777777" w:rsidR="007419C5" w:rsidRDefault="00000000">
      <w:pPr>
        <w:pStyle w:val="Heading1"/>
        <w:spacing w:before="280" w:after="120"/>
      </w:pPr>
      <w:r>
        <w:rPr>
          <w:rFonts w:ascii="Arial" w:hAnsi="Arial"/>
          <w:color w:val="1B365D"/>
          <w:sz w:val="30"/>
        </w:rPr>
        <w:lastRenderedPageBreak/>
        <w:t>1. Curated Clinical &amp; Technical Literature Review (2023–2026)</w:t>
      </w:r>
    </w:p>
    <w:p w14:paraId="5C64A069" w14:textId="77777777" w:rsidR="007419C5" w:rsidRDefault="00000000">
      <w:pPr>
        <w:spacing w:after="80"/>
      </w:pPr>
      <w:r>
        <w:rPr>
          <w:rFonts w:ascii="Calibri" w:hAnsi="Calibri"/>
          <w:color w:val="222222"/>
        </w:rPr>
        <w:t>To ensure adherence to state-of-the-art neurotechnological and clinical standards, five peer-reviewed investigations published between 2023 and 2026 form the direct scientific and empirical foundation of our system architecture: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708"/>
        <w:gridCol w:w="2644"/>
        <w:gridCol w:w="2501"/>
        <w:gridCol w:w="2108"/>
      </w:tblGrid>
      <w:tr w:rsidR="007419C5" w14:paraId="1B548B06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AD48F" w14:textId="77777777" w:rsidR="007419C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 #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92174" w14:textId="77777777" w:rsidR="007419C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Authors &amp; Year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53F20" w14:textId="77777777" w:rsidR="007419C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Publication Venue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37C53" w14:textId="77777777" w:rsidR="007419C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 Clinical &amp; Technical Contribution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563DA" w14:textId="77777777" w:rsidR="007419C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System Parameter Impact</w:t>
            </w:r>
          </w:p>
        </w:tc>
      </w:tr>
      <w:tr w:rsidR="007419C5" w14:paraId="40BD942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61D14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[1]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64F14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Orhanbulucu, Latifoglu &amp; Baydemir (2023)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45855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Diagnostics (MDPI), 13(11), 1887</w:t>
            </w:r>
            <w:r>
              <w:rPr>
                <w:rFonts w:ascii="Calibri" w:hAnsi="Calibri"/>
                <w:color w:val="222222"/>
                <w:sz w:val="19"/>
              </w:rPr>
              <w:br/>
              <w:t>doi: 10.3390/diagnostics13111887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D72D7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Demonstrated that STFT time-frequency spectrograms (1-50 Hz) combined with convolutional neural networks discriminate migraineurs from healthy controls with 94.7% accuracy across resting, visual, and auditory tasks.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BAAA0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Validates the direct extraction of cortical oscillatory profiles from 2D STFT spectrogram images as clinically rigorous.</w:t>
            </w:r>
          </w:p>
        </w:tc>
      </w:tr>
      <w:tr w:rsidR="007419C5" w14:paraId="3F02D1F5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F982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[2]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5B970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Aslan (2023)</w:t>
            </w:r>
          </w:p>
        </w:tc>
        <w:tc>
          <w:tcPr>
            <w:tcW w:w="2160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9C90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Circuits, Systems, and Signal Processing (Springer), 42(5), 3054-3071</w:t>
            </w:r>
            <w:r>
              <w:rPr>
                <w:rFonts w:ascii="Calibri" w:hAnsi="Calibri"/>
                <w:color w:val="222222"/>
                <w:sz w:val="19"/>
              </w:rPr>
              <w:br/>
              <w:t>doi: 10.1007/s00034-022-02265-5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DED80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Applied continuous wavelet and time-frequency representations to the public CMU migraine EEG dataset, reporting 100% classification success and establishing that pathological spectral distortions concentrate in occipito-parietal alpha rhythms.</w:t>
            </w:r>
          </w:p>
        </w:tc>
        <w:tc>
          <w:tcPr>
            <w:tcW w:w="2448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CFFEB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Confirms that CMU EEG dataset spectrograms contain high-fidelity biomarkers of migraine-induced alpha suppression.</w:t>
            </w:r>
          </w:p>
        </w:tc>
      </w:tr>
      <w:tr w:rsidR="007419C5" w14:paraId="0CBE7ED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D79F2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[3]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C1FDD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Alonso et al. (2024)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5127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Frontiers in Human Neuroscience, 18, 1374521</w:t>
            </w:r>
            <w:r>
              <w:rPr>
                <w:rFonts w:ascii="Calibri" w:hAnsi="Calibri"/>
                <w:color w:val="222222"/>
                <w:sz w:val="19"/>
              </w:rPr>
              <w:br/>
              <w:t>doi: 10.3389/fnhum.2024.1374521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2647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Conducted high-density EEG trials showing that tuning binaural beats to the subject's exact Individual Alpha Peak Frequency (IAF) yields significantly greater cortical phase synchronization than generic 10 Hz stimulation.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E34DB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Mandates the localization and use of patient-specific IAF (rather than fixed 10 Hz) as the target beat frequency Δf.</w:t>
            </w:r>
          </w:p>
        </w:tc>
      </w:tr>
      <w:tr w:rsidR="007419C5" w14:paraId="04770382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4CA50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[4]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2081F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Bhowmik et al. (2024)</w:t>
            </w:r>
          </w:p>
        </w:tc>
        <w:tc>
          <w:tcPr>
            <w:tcW w:w="2160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E7BC9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Nature Scientific Reports, 14, 2149</w:t>
            </w:r>
            <w:r>
              <w:rPr>
                <w:rFonts w:ascii="Calibri" w:hAnsi="Calibri"/>
                <w:color w:val="222222"/>
                <w:sz w:val="19"/>
              </w:rPr>
              <w:br/>
              <w:t>doi: 10.1038/s41598-024-52648-4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F956E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 xml:space="preserve">Investigated auditory brainstem phase-locking and cortical evoked responses across a wide spectrum of acoustic carrier frequencies (100 Hz to 1000 </w:t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Hz), determining that 200-250 Hz optimizes inferior colliculus phase synchronization.</w:t>
            </w:r>
          </w:p>
        </w:tc>
        <w:tc>
          <w:tcPr>
            <w:tcW w:w="2448" w:type="dxa"/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45468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 xml:space="preserve">Provides empirical proof for selecting fc = 216.0 Hz as the base carrier frequency to maximize neural </w:t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entrainment.</w:t>
            </w:r>
          </w:p>
        </w:tc>
      </w:tr>
      <w:tr w:rsidR="007419C5" w14:paraId="3C92666D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E5117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[5]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9C867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Magalhães et al. (2025)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0A95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European Journal of Neuroscience (Wiley), 61(2), e16342</w:t>
            </w:r>
            <w:r>
              <w:rPr>
                <w:rFonts w:ascii="Calibri" w:hAnsi="Calibri"/>
                <w:color w:val="222222"/>
                <w:sz w:val="19"/>
              </w:rPr>
              <w:br/>
              <w:t>doi: 10.1111/ejn.16342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4D6F0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Evaluated prolonged alpha-range auditory neuromodulation in chronic migraine patients, demonstrating significant reduction in monthly headache days, reduced trigeminal hypersensitivity, and normalization of thalamocortical dysrhythmia.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682BD" w14:textId="77777777" w:rsidR="007419C5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Establishes clinical therapeutic validity and safety profiles for non-invasive alpha binaural entrainment protocols.</w:t>
            </w:r>
          </w:p>
        </w:tc>
      </w:tr>
    </w:tbl>
    <w:p w14:paraId="24F933D4" w14:textId="112B55BD" w:rsidR="007419C5" w:rsidRDefault="007419C5" w:rsidP="00245B31">
      <w:pPr>
        <w:pStyle w:val="Heading1"/>
        <w:spacing w:before="280" w:after="120"/>
      </w:pPr>
    </w:p>
    <w:sectPr w:rsidR="007419C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384252">
    <w:abstractNumId w:val="8"/>
  </w:num>
  <w:num w:numId="2" w16cid:durableId="629674245">
    <w:abstractNumId w:val="6"/>
  </w:num>
  <w:num w:numId="3" w16cid:durableId="1938368259">
    <w:abstractNumId w:val="5"/>
  </w:num>
  <w:num w:numId="4" w16cid:durableId="228686125">
    <w:abstractNumId w:val="4"/>
  </w:num>
  <w:num w:numId="5" w16cid:durableId="917398793">
    <w:abstractNumId w:val="7"/>
  </w:num>
  <w:num w:numId="6" w16cid:durableId="675809930">
    <w:abstractNumId w:val="3"/>
  </w:num>
  <w:num w:numId="7" w16cid:durableId="1172333920">
    <w:abstractNumId w:val="2"/>
  </w:num>
  <w:num w:numId="8" w16cid:durableId="335378811">
    <w:abstractNumId w:val="1"/>
  </w:num>
  <w:num w:numId="9" w16cid:durableId="11830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B31"/>
    <w:rsid w:val="0029639D"/>
    <w:rsid w:val="00326F90"/>
    <w:rsid w:val="00686D57"/>
    <w:rsid w:val="007419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E26D5"/>
  <w14:defaultImageDpi w14:val="300"/>
  <w15:docId w15:val="{D4838981-0DF7-40C9-831F-984135E5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Ahnaf Mahbe</cp:lastModifiedBy>
  <cp:revision>2</cp:revision>
  <dcterms:created xsi:type="dcterms:W3CDTF">2013-12-23T23:15:00Z</dcterms:created>
  <dcterms:modified xsi:type="dcterms:W3CDTF">2026-09-26T17:09:00Z</dcterms:modified>
  <cp:category/>
</cp:coreProperties>
</file>