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Başvuru Paketi İçeriği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12. Çağrı Başvuru Çağrı Rehberi'nin (2026 - V12.0) kendi yapısına göre düzenlenmiştir. Musab Eder Çiftliği — kanatlı (etlik piliç) kümesi ve müştemilatı yapımı ile makine-ekipman alımı, gerçek kişi başvurusu.</w:t>
      </w:r>
    </w:p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ÖNCEKİ LİSTEYE GÖRE NE DEĞİŞTİ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Daha önce verilen 57 kalemlik liste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tematik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gruplanmıştı (idari · izinler · teknik proje · satın alma · iş planı · taahhütler). İçerik büyük ölçüde doğruydu; ancak rehber, paketin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Formu Bölüm 10'daki sıraya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göre düzenlenmesini ve bu sırayı gösteren bir İçerik Tablosu konmasını zorunlu tutuyor. Yanlış sırayla ciltlenen paket teslim aşamasında kabul edilmiyor. Bu liste doğru sırayı veriyor.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Önceki listede hiç yer almayan belgeler: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İçerik Tablosu · A3 Uygun/Uygun Olmayan Harcamalar Detaylı Tabloları (6 tablo) · A6 Maliyetleri Gerekçelendirme Tablosu · A8 Mevcut Varlıklar Listesi · A10 Makine-Ekipman Yerleşim Planı · Tek Hat Şeması · separatörler ve iki nüsha kuralı.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Önceki listede yanlış olanlar: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müstahsil makbuzları “son üç yıl”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bir yıl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taahhütnameler beş ayrı belge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 taahhütname (A1)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“40 yaş altına sıralama puanı”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destek oranına +%5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Kocaeli sıralama kriterinde puan almıyor sanılmıştı, aslında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 puan alıyor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.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İÇERİK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Paketin en başına konur. TKDK'nın yayımladığı formata uygun olmalı; her belgenin adı ve </w:t>
      </w:r>
      <w:r>
        <w:rPr>
          <w:rFonts w:ascii="Calibri" w:hAnsi="Calibri"/>
          <w:b/>
          <w:i w:val="0"/>
          <w:color w:val="000000"/>
          <w:sz w:val="18"/>
        </w:rPr>
        <w:t>sayfa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yazılmalı; her sayfası paraflanmalı, son sayfası imzalanmalıdır. </w:t>
      </w:r>
      <w:r>
        <w:rPr>
          <w:rFonts w:ascii="Calibri" w:hAnsi="Calibri"/>
          <w:b/>
          <w:i w:val="0"/>
          <w:color w:val="000000"/>
          <w:sz w:val="18"/>
        </w:rPr>
        <w:t>Teslimde kontrol edilir — yoksa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İçerik Tablosu · Paket tamamlandığında sayfa numaralarıyla birlikte hazırlanacak.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Online Proje Başvuru Sistemi'nde doldurulur, çıktısı alınıp imzalanır. Sistemdeki referans ve versiyon numarası ile paketteki çıktı aynı olmalıdır; farklıysa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Online sistemde doldurulur.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TAAHHÜTNAME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TKDK sitesinden indirilir, bilgisayar ortamında doldurulur, çıktısı imzalanır. 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Taahhütname · Formu TKDK sitesinden indirilecek.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RESMİ BELGELER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Gerçek kişi başvurusunda aşağıdaki belgeler bu ek altında toplanır. Paraflanmaz; tahrip edilmiş, yırtılmış veya üzerinde düzeltme yapılmış belge sunulamaz.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Sözleşme aşamasında da borç bulunmamalıdır.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üzerinden.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mükellefiyet durum yazısı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ÇKS belgesi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sahibinin kendi adına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olmalıdır — rehber bunu açıkça şart koşuyor.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ÇKS/HKS kaydı ile mesleki yeterlilik ayrı kriterlerdir; ikisi de gereklidir.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Şerhli tapu kaydı · Başvuru sahibi adına olması 3. sıralama kriterinden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 puan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getirir.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Kocaeli Çevre ve Şehircilik İl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Kocaeli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başvuru sahibi adına.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veya Tarım Kredi Kooperatifi niyet mektubu · Finansman kaynağına ilişkin tüm kanıtlayıcı belgeler başvuru aşamasında sunulmalıdır; yetersizse Kurum projeyi reddedebilir.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Lisanssız elektrik üreticileri için dağıtım sistemine bağlantı anlaşması · Yatırımda yenilenebilir enerji üretimi bulunmadığından GEREKMİYOR.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GEREKSİZ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/ UYGUN OLMAYAN HARCAMALAR DETAYLI TABLOLARI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A3.1.1, A3.1.2, A3.2, A3.3, A3.4 ve A3.5 tablolarından oluşur. Online sistemde doldurulur, çıktısı alınır ve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>. Sistemdeki tablo ile paketteki çıktı birebir aynı olmalıdır; farklıysa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A3.1.1 · A3.1.2 · A3.2 · A3.3 · A3.4 · A3.5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21_A3_UYGUN_HARCAMALAR.xlsx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hazır: A3.1.1'de 82 yapım işleri kalemi, A3.1.2'de 9 ekipman kalemi, A3.4'te uygun olmayan harcama, A3.5'te formüllü icmal. Online sisteme buradan girilecek.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SEÇİLEN TEKLİFLER VE EKLERİ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Paraflanmaz. Yapım işleri ve makine-ekipman için ayrı ayrı.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seçilen teklifi · Teklif toplanacak. Kalem ve miktarlar 37 numaralı fiyatsız istek listesindedir; liste kümes mekanik ekipmanı ile ısıtma sistemini birlikte taşır.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seçilen teklifi · Teklif davet mektubu (16), 8 keşif özeti, teknik şartname, mahal listesi ve metraj cetvelleri hazır; teklif toplanacak.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— yapım, makine-ekipman, hizmet, görünürlük · 16, 17, 18 ve 19 numaralı belgeler. Rehber 6.1.1'in aradığı dokuz husus eksiksiz; başvuru sahibince imzalanıp paraflanacak.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tutanağı · 20 numaralı belge. Rehber 6.1.6'daki sekiz kontrol, karşılaştırma tablosu, seçim gerekçesi ve çıkar ilişkisi beyanı.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SEÇİLMEYEN TEKLİFLER VE EKLERİ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Reddedilen teklifler de pakette bulunmak zorundadır; eksikse satın alma geçersiz sayılır. 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MALİYETLERİ GEREKÇELENDİRME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TKDK sitesinden indirilir, bilgisayarda doldurulur, çıktısı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 xml:space="preserve">. Bir harcama kalemi için </w:t>
      </w:r>
      <w:r>
        <w:rPr>
          <w:rFonts w:ascii="Calibri" w:hAnsi="Calibri"/>
          <w:b/>
          <w:i w:val="0"/>
          <w:color w:val="000000"/>
          <w:sz w:val="18"/>
        </w:rPr>
        <w:t>tek teklif</w:t>
      </w:r>
      <w:r>
        <w:rPr>
          <w:rFonts w:ascii="Calibri" w:hAnsi="Calibri"/>
          <w:b w:val="0"/>
          <w:i w:val="0"/>
          <w:color w:val="000000"/>
          <w:sz w:val="18"/>
        </w:rPr>
        <w:t xml:space="preserve"> alınmışsa o kalem için bu belge gerekmez.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Maliyetleri Gerekçelendirme Tablosu · Teklifler tamamlandığında hazırlanacak.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YASAL MALİ TABLOLAR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Gerçek kişide bilanço ve gelir tablosu yerine müstahsil makbuzları kullanılır.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Müstahsil makbuzları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Yalnızca paketin Kuruma sunum tarihinden önceki 1 YIL içinde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alınmış makbuzlar değerlendirmeye alınır. İş planı mevcut durum analizinden puan almak için önemlidir; teslimden sonra sunulanlar dikkate alınmaz.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MEVCUT VARLIKLAR LİSTESİ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Online sistemde doldurulur, çıktısı alınır ve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Mevcut Varlıklar Listesi (A8) · İşletmenin mevcut arazi, bina, makine ve hayvan varlığı yazılacak.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PROJELER, METRAJ CETVELİ VE TEK HAT ŞEMASI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Mimari, statik, elektrik tesisat ve mekanik tesisat projeleri ile metraj cetveli ve tek hat şeması. Paraflanmaz ve </w:t>
      </w:r>
      <w:r>
        <w:rPr>
          <w:rFonts w:ascii="Calibri" w:hAnsi="Calibri"/>
          <w:b/>
          <w:i w:val="0"/>
          <w:color w:val="000000"/>
          <w:sz w:val="18"/>
        </w:rPr>
        <w:t>numaralandırılmaz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· Mevcut; ruhsat onaylı nüsha konacak.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(betonarme) · Mevcut; temel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(çelik) ve hesap raporu · Mevcut. Metrajdaki 88,096 ton profil kesitleri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tesisat projesi · Mevcut.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tesisat projesi · Mevcut.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Metraj cetveli · Yapı bazında; ağırlık cinsinden ayrı cetvel dâhil.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 hat şeması · Elektrik projesinde ayrı pafta olarak istenir; kümes ölçüsü değiştiğinden yeniden çizilmesi gerekir.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MAKİNE-EKİPMAN YERLEŞİM PLANI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 ve numaralandırılmaz. Satın alınacak her makine ve ekipmanın kümes içindeki yerini gösterir.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yerleşim planı · Yemleme ve sulama hatları, fanlar, klapeler, ped sistemi, silo ve kontrol panosunun yerleşimi. Mimari plan üzerine çizilecek.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YAPI RUHSATI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 ruhsatı — kümes A, kümes B ve müştemilat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Onay tarihi çağrı kapanış tarihinden ÖNCE olmalıdır.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Sonraysa başvuru uygun değerlendirilmez ve düzeltme hakkı yoktur. Foseptik, istinat ve bahçe duvarı ruhsatları sonradan sunulabilir.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Başvuru formu ve eklerinden sonra gelir; ayrıca 1'den başlayarak numaralandırılır. İlgili yerleri imzalanır.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B2 İş Planı · Toplam uygun harcama 180.000 Avro'nun üzerinde olduğu için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B2 zorunludur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. B1 veya B3 sunulursa proje reddedilir.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(entegratör) · İş planındaki pazarlama ve gelir öngörüsünün dayanağı.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TEKNİK PROJE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İş planından sonra gelir; ayrıca 1'den başlayarak numaralandırılır. Teknik Proje Hazırlama Rehberi'ne uygun olmalıdır.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açıklama raporu · Kapak, içindekiler ve açıklama raporu hazır.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EK-1 uygun harcama kalemlerine göre gruplu. Elektrik başlığı, kuvvetli akım birim fiyat listesi gelince tamamlanacak.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teknik şartnamesi · 12. çağrı uygun harcama listesindeki minimum teknik özellik başlıklarına çevrilecek.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ÇŞB pozlarına %16 tenzilat uygulanmış hâli.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Yapı, iş kalemi ve EK-1 başlığı bazında yüzde ağırlıklar.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PAKETİN FİZİKSEL HAZIRLANMASI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•  Paket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iki nüsha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hazırlanır: bir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orijinal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, bir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kopya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. Her nüsha ayrı bir klasöre konur, ikisi tek bir paket içinde teslim edilir. Klasörsüz sunulan başvuru kabul edilmez. · •  Paketin üzerine “IPARD Programı Başvuru Paketi” ve “Kanatlı Eti Sektörü Kapsamında Proje Başvurusu” yazılır. · •  Başvuru formu, ekleri, iş planı ve teknik projeyi birbirinden ayıran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separatörler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her Ek'in arasına yerleştirilir. Separatörsüz paket kabul edilmez. · •  Bütün sayfalar (çizimler hariç) Başvuru Formu Bölüm 10'daki sıraya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numaralandırılır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. İş planı ve teknik proje ayrıca 1'den başlayarak numaralandırılır. A9 ve A10 numaralandırılmaz.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İmzalanacaklar: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Formu, Taahhütname (A1), A3 tabloları, Maliyetleri Gerekçelendirme Tablosu (A6), Mevcut Varlıklar Listesi (A8), iş planı ve teknik projenin ilgili yerleri. İmza atılmayan diğer tüm sayfalar paraflanır.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Paraflanmayacaklar: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A1, A2, A4, A5, A7, A9, A10, A11. · •  Paket, yatırımın yapılacağı ildeki TKDK İl Koordinatörlüğüne veya İl İrtibat Ofisine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elden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teslim edilir. · •  İçinde Başvuru Formu, seçilen ve seçilmeyen teklifler, iş planı ve teknik proje bulunmayan paketler teslim alınmaz.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Sıralama kriterlerine göre tahmini puan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Rehberin 8.2 bölümündeki tabloya göre. Çağrı bütçesinin üzerinde başvuru gelirse TKDK ön sıralamaya göre inceleyeceği projeleri belirliyor; düşük puanlı projeler için ret yazısı bile yazılmıyor. </w:t>
      </w:r>
      <w:r>
        <w:rPr>
          <w:rFonts w:ascii="Calibri" w:hAnsi="Calibri"/>
          <w:b/>
          <w:i w:val="0"/>
          <w:color w:val="000000"/>
          <w:sz w:val="18"/>
        </w:rPr>
        <w:t>Başvuru tarihinden sonra kriteri sağlayacak değişiklik yapılamaz.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Kriter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Alınan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Azami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Toplam uygun harcama tutarı — broyler: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297.965 Avro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, 300.000 Avro'dan az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Organik tarım sertifikası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uygulama alanının sahibi (tapu başvuru sahibi adına)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Yatırım alanı, IPARD III'te destek kapsamına alınan yeni illerde —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Kocaeli bu listede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IPARD kapsamında imzalanmış sözleşme yok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kadın veya %40-59 ortopedik engellilik oranına sahip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sahibinin statüsü — gerçek kişi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Yatırım yenilenebilir enerji üretimini içeriyor —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yatırımda yenilenebilir enerji yok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kriter kademelidir: toplam uygun harcama 300.000 Avro'nun altına çekilirse 5, 250.000'in altına 10, 200.000'in altına 15 puan gelir. Hibe kapsamı bu kademeye girecek biçimde daraltılmıştır: uygun harcamaya yalnızca </w:t>
      </w:r>
      <w:r>
        <w:rPr>
          <w:rFonts w:ascii="Calibri" w:hAnsi="Calibri"/>
          <w:b/>
          <w:i w:val="0"/>
          <w:color w:val="000000"/>
          <w:sz w:val="18"/>
        </w:rPr>
        <w:t>Kümes A ve B blokları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girer, onlardan da sandviç panel çatı-cephe kaplaması ile otomatik transfer şalteri çıkarılmıştır. Uygun harcama </w:t>
      </w:r>
      <w:r>
        <w:rPr>
          <w:rFonts w:ascii="Calibri" w:hAnsi="Calibri"/>
          <w:b/>
          <w:i w:val="0"/>
          <w:color w:val="000000"/>
          <w:sz w:val="18"/>
        </w:rPr>
        <w:t>15.720.192,50 TL = 297.965 Avro</w:t>
      </w:r>
      <w:r>
        <w:rPr>
          <w:rFonts w:ascii="Calibri" w:hAnsi="Calibri"/>
          <w:b w:val="0"/>
          <w:i w:val="0"/>
          <w:color w:val="000000"/>
          <w:sz w:val="18"/>
        </w:rPr>
        <w:t xml:space="preserve">'dur; 300.000 Avro kademesinin altında kaldığından </w:t>
      </w:r>
      <w:r>
        <w:rPr>
          <w:rFonts w:ascii="Calibri" w:hAnsi="Calibri"/>
          <w:b/>
          <w:i w:val="0"/>
          <w:color w:val="000000"/>
          <w:sz w:val="18"/>
        </w:rPr>
        <w:t>5 puan</w:t>
      </w:r>
      <w:r>
        <w:rPr>
          <w:rFonts w:ascii="Calibri" w:hAnsi="Calibri"/>
          <w:b w:val="0"/>
          <w:i w:val="0"/>
          <w:color w:val="000000"/>
          <w:sz w:val="18"/>
        </w:rPr>
        <w:t xml:space="preserve"> gelir. Eşiğe kalan pay 2.035 Avro'dur. Yatırımın geri kalanı — diğer 7 yapı, çıkarılan pozlar ve makine-ekipman alımı, toplam 9.325.379,57 TL (176.756 Avro) — yapılmaya devam eder; uygun olmayan harcama olarak proforma fatura ile beyan edilir ve öz kaynaktan karşılanır.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EŞİĞE KALAN PAY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Uygun harcama 297.965 Avro, eşik 300.000 Avro: arada 2.035 Avro (%0,7) pay vardır. TKDK, keşfi kendi birim fiyatlarıyla yeniden hesaplar; kur da başvuru tarihinde güncellenir. Bu iki etkiden biri tutarı yukarı taşırsa kademe kaybedilir ve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sonradan düzeltme yapılamaz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teslimden sonra kriteri sağlayacak değişiklik kabul edilmez. Pay bu yüzden geniş tutulmuştur.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HARCAMA ÜST LİMİTİ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Broyler yatırımlarında uygun harcama üst limiti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375.000 Avro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'dur (19.784.437,50 TL). Uygun harcama 297.965 Avro olduğundan üst limit bu yatırımda bağlayıcı değildir; hibe, uygun harcamanın tamamı üzerinden hesaplanır.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TAKVİMİ BELİRLEYEN TARİH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ruhsatının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onay tarihi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çağrı kapanış (son başvuru teslim) tarihinden önce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olmak zorundadır. Sonra alınırsa başvuru uygun değerlendirilmez ve bu, eksik evrak sürecinde düzeltilemez. Diğer bütün evraklar bu tarihe göre planlanmalıdır.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Kaynak: IPARD III 12. Çağrı Başvuru Çağrı Rehberi (2026 - V12.0), Bölüm 6 ve 7 ile 101.3 Uygun Harcamalar Listesi (30.06.2026). Ayrıntılı belge açıklamaları için TKDK'nın “Başvuru Paketi İçeriği” kitapçığına da bakılmalıdır.</w:t>
        <w:br/>
        <w:t>MAHMUT TARI MAFREN MÜHENDİSLİK DANIŞMANLIK HİZMETLERİ · Ticaret sicil no Gölcük/6196 · Mersis 4943840532200001 · Tel 0541 553 66 86 · mahmuttari@gmail.com · 26.08.2026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