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30 adet, toplam 60 adet olmalıdır (mekanik proje: 30 x 1.750 = 52.500 m³/h &gt; gerekli 46.717 m³/h).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51527CF7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9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Aydınlatma Sistemi</w:t>
            </w:r>
          </w:p>
        </w:tc>
        <w:tc>
          <w:tcPr>
            <w:tcW w:w="2559" w:type="pct"/>
          </w:tcPr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Kümes başına en az 56 adet lamba bulunmalıdır.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Lamba tipi E27 duylu LED olmalı, gücü 7-12 W arasında seçilmelidir.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Duylar contalı ve kümes ortamına dayanıklı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Ampul rengi beyaz ve gün ışığı olarak sağlanmalıdır.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Aydınlatma hattı kablo uzunluğu kümes başına en az 266 m olmalıdır.</w:t>
            </w:r>
          </w:p>
          <w:p w:rsidR="001A22A2" w:rsidRPr="00D06A26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Aydınlatma, kümes kontrol panosundan kumanda edilebilmelidir.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B6549EE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10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Isıtma Sistemi</w:t>
            </w:r>
          </w:p>
        </w:tc>
        <w:tc>
          <w:tcPr>
            <w:tcW w:w="2559" w:type="pct"/>
          </w:tcPr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Isıtma sistemi kümes başına 1 adet, toplam 2 adet olmalıdır.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Isıl kapasite kümesin ısı yükünden hesaplanmıştır; cihaz kümes başına en az 264.000 kcal/h (307 kW) kapasitede olmalıdır. Ayrıntılı hesap 32 numaralı ısıtma teknik şartnamesindedir.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Isıtılacak alan kümes başına en az 1.060 m² olmalıdır.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Katı yakıtlı, sıcak hava üretecek biçimde çalışmalı; yanma haznesi ve kazan çelik olmalıdır.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Fan motoru en az 5,5 kW, basma debisi en az 21.000 m³/h olmalıdır.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Panoda kontaktör, termik ve faz koruma rölesi bulunmalıdır.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Sıcak hava dağıtımı için kümes içi branda ve hava kanalı ekipmanları fiyata dâhil olmalıdır.</w:t>
            </w:r>
          </w:p>
          <w:p w:rsidR="001A22A2" w:rsidRPr="00C859C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C859C1">
              <w:rPr>
                <w:color w:val="000000" w:themeColor="text1"/>
                <w:sz w:val="24"/>
                <w:szCs w:val="24"/>
              </w:rPr>
              <w:t xml:space="preserve">Marka ve modele bağlı değildir; belirtilen değerleri sağlayan her ürün teklif edilebilir.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6E02A8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