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0000"/>
          <w:sz w:val="24"/>
        </w:rPr>
        <w:t>PROFORMA FATURA</w:t>
      </w:r>
    </w:p>
    <w:p>
      <w:pPr>
        <w:jc w:val="center"/>
      </w:pPr>
      <w:r>
        <w:rPr>
          <w:rFonts w:ascii="Calibri" w:hAnsi="Calibri"/>
          <w:b/>
          <w:i w:val="0"/>
          <w:color w:val="000000"/>
          <w:sz w:val="22"/>
        </w:rPr>
        <w:t>HİBE KAPSAMI DIŞINDAKİ YAPIM İŞLERİ</w:t>
      </w:r>
    </w:p>
    <w:p>
      <w:pPr>
        <w:spacing w:after="80"/>
      </w:pPr>
    </w:p>
    <w:p>
      <w:pPr>
        <w:spacing w:before="0" w:after="20"/>
      </w:pPr>
      <w:r>
        <w:rPr>
          <w:rFonts w:ascii="Calibri" w:hAnsi="Calibri"/>
          <w:b/>
          <w:i w:val="0"/>
          <w:color w:val="000000"/>
          <w:sz w:val="17"/>
        </w:rPr>
        <w:t>Proforma no</w:t>
      </w:r>
      <w:r>
        <w:rPr>
          <w:rFonts w:ascii="Calibri" w:hAnsi="Calibri"/>
          <w:b w:val="0"/>
          <w:i w:val="0"/>
          <w:color w:val="000000"/>
          <w:sz w:val="17"/>
        </w:rPr>
        <w:t xml:space="preserve">  :  </w:t>
      </w:r>
      <w:r>
        <w:rPr>
          <w:rFonts w:ascii="Calibri" w:hAnsi="Calibri"/>
          <w:b w:val="0"/>
          <w:i w:val="0"/>
          <w:color w:val="000000"/>
          <w:sz w:val="17"/>
        </w:rPr>
        <w:t>2026/36</w:t>
      </w:r>
    </w:p>
    <w:p>
      <w:pPr>
        <w:spacing w:before="0" w:after="20"/>
      </w:pPr>
      <w:r>
        <w:rPr>
          <w:rFonts w:ascii="Calibri" w:hAnsi="Calibri"/>
          <w:b/>
          <w:i w:val="0"/>
          <w:color w:val="000000"/>
          <w:sz w:val="17"/>
        </w:rPr>
        <w:t>Tarih</w:t>
      </w:r>
      <w:r>
        <w:rPr>
          <w:rFonts w:ascii="Calibri" w:hAnsi="Calibri"/>
          <w:b w:val="0"/>
          <w:i w:val="0"/>
          <w:color w:val="000000"/>
          <w:sz w:val="17"/>
        </w:rPr>
        <w:t xml:space="preserve">  :  </w:t>
      </w:r>
      <w:r>
        <w:rPr>
          <w:rFonts w:ascii="Calibri" w:hAnsi="Calibri"/>
          <w:b w:val="0"/>
          <w:i w:val="0"/>
          <w:color w:val="000000"/>
          <w:sz w:val="17"/>
        </w:rPr>
        <w:t>26.08.2026</w:t>
      </w:r>
    </w:p>
    <w:p>
      <w:pPr>
        <w:spacing w:before="0" w:after="20"/>
      </w:pPr>
      <w:r>
        <w:rPr>
          <w:rFonts w:ascii="Calibri" w:hAnsi="Calibri"/>
          <w:b/>
          <w:i w:val="0"/>
          <w:color w:val="000000"/>
          <w:sz w:val="17"/>
        </w:rPr>
        <w:t>Geçerlilik</w:t>
      </w:r>
      <w:r>
        <w:rPr>
          <w:rFonts w:ascii="Calibri" w:hAnsi="Calibri"/>
          <w:b w:val="0"/>
          <w:i w:val="0"/>
          <w:color w:val="000000"/>
          <w:sz w:val="17"/>
        </w:rPr>
        <w:t xml:space="preserve">  :  </w:t>
      </w:r>
      <w:r>
        <w:rPr>
          <w:rFonts w:ascii="Calibri" w:hAnsi="Calibri"/>
          <w:b w:val="0"/>
          <w:i w:val="0"/>
          <w:color w:val="000000"/>
          <w:sz w:val="17"/>
        </w:rPr>
        <w:t>26.12.2027</w:t>
      </w:r>
    </w:p>
    <w:p>
      <w:pPr>
        <w:spacing w:after="80"/>
      </w:pPr>
    </w:p>
    <w:p>
      <w:pPr>
        <w:spacing w:before="120" w:after="60"/>
      </w:pPr>
      <w:r>
        <w:rPr>
          <w:rFonts w:ascii="Calibri" w:hAnsi="Calibri"/>
          <w:b/>
          <w:i w:val="0"/>
          <w:color w:val="000000"/>
          <w:sz w:val="20"/>
        </w:rPr>
        <w:t>Düzenleyen (satıcı)</w:t>
      </w:r>
    </w:p>
    <w:tbl>
      <w:tblPr>
        <w:tblW w:type="auto" w:w="0"/>
        <w:jc w:val="center"/>
        <w:tblLayout w:type="fixed"/>
        <w:tblLook w:firstColumn="1" w:firstRow="1" w:lastColumn="0" w:lastRow="0" w:noHBand="0" w:noVBand="1" w:val="04A0"/>
      </w:tblPr>
      <w:tblGrid>
        <w:gridCol w:w="5216"/>
        <w:gridCol w:w="5216"/>
      </w:tblGrid>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Ticari unvanı</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 TARI MAFREN MÜHENDİSLİK DANIŞMANLIK HİZMETLERİ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Yetkilisi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 TARI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Adresi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Şehitler Mah. 416. Sk. No: 2 İç Kapı No: 1 Gölcük / KOCAELİ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Vergi dairesi / no</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Gölcük / 49438405322</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Ticaret sicil no</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Gölcük/6196</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Mersis no</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4943840532200001</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Telefon</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0541 553 66 86</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E-posta</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mahmuttari@gmail.com</w:t>
            </w:r>
          </w:p>
        </w:tc>
      </w:tr>
    </w:tbl>
    <w:p>
      <w:pPr>
        <w:spacing w:after="80"/>
      </w:pPr>
    </w:p>
    <w:p>
      <w:pPr>
        <w:spacing w:after="80"/>
      </w:pPr>
    </w:p>
    <w:p>
      <w:pPr>
        <w:spacing w:before="120" w:after="60"/>
      </w:pPr>
      <w:r>
        <w:rPr>
          <w:rFonts w:ascii="Calibri" w:hAnsi="Calibri"/>
          <w:b/>
          <w:i w:val="0"/>
          <w:color w:val="000000"/>
          <w:sz w:val="20"/>
        </w:rPr>
        <w:t>Alıcı</w:t>
      </w:r>
    </w:p>
    <w:tbl>
      <w:tblPr>
        <w:tblW w:type="auto" w:w="0"/>
        <w:jc w:val="center"/>
        <w:tblLayout w:type="fixed"/>
        <w:tblLook w:firstColumn="1" w:firstRow="1" w:lastColumn="0" w:lastRow="0" w:noHBand="0" w:noVBand="1" w:val="04A0"/>
      </w:tblPr>
      <w:tblGrid>
        <w:gridCol w:w="5216"/>
        <w:gridCol w:w="5216"/>
      </w:tblGrid>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Adı, soyadı</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MUSAB EDER</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T.C. kimlik no</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46441018266</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Adresi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İnebeyli Mahallesi, 138 ada 17 parsel, Karamürsel / KOCAELİ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Yatırımın adı</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MUSAB EDER ÇİFTLİĞİ KANATLI (ETLİK PİLİÇ) KÜMESİ</w:t>
            </w:r>
          </w:p>
        </w:tc>
      </w:tr>
    </w:tbl>
    <w:p>
      <w:pPr>
        <w:spacing w:after="80"/>
      </w:pPr>
    </w:p>
    <w:p>
      <w:pPr>
        <w:spacing w:after="120"/>
      </w:pPr>
    </w:p>
    <w:p>
      <w:pPr>
        <w:spacing w:before="120" w:after="60"/>
      </w:pPr>
      <w:r>
        <w:rPr>
          <w:rFonts w:ascii="Calibri" w:hAnsi="Calibri"/>
          <w:b/>
          <w:i w:val="0"/>
          <w:color w:val="000000"/>
          <w:sz w:val="20"/>
        </w:rPr>
        <w:t>Kalemler</w:t>
      </w:r>
    </w:p>
    <w:tbl>
      <w:tblPr>
        <w:tblW w:type="auto" w:w="0"/>
        <w:jc w:val="center"/>
        <w:tblLayout w:type="fixed"/>
        <w:tblLook w:firstColumn="1" w:firstRow="1" w:lastColumn="0" w:lastRow="0" w:noHBand="0" w:noVBand="1" w:val="04A0"/>
      </w:tblPr>
      <w:tblGrid>
        <w:gridCol w:w="1490"/>
        <w:gridCol w:w="1490"/>
        <w:gridCol w:w="1490"/>
        <w:gridCol w:w="1490"/>
        <w:gridCol w:w="1490"/>
        <w:gridCol w:w="1490"/>
        <w:gridCol w:w="1490"/>
      </w:tblGrid>
      <w:tr>
        <w:tc>
          <w:tcPr>
            <w:tcW w:type="dxa" w:w="510"/>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Sıra</w:t>
            </w:r>
          </w:p>
        </w:tc>
        <w:tc>
          <w:tcPr>
            <w:tcW w:type="dxa" w:w="119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Poz / kod</w:t>
            </w:r>
          </w:p>
        </w:tc>
        <w:tc>
          <w:tcPr>
            <w:tcW w:type="dxa" w:w="4479"/>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Açıklama</w:t>
            </w:r>
          </w:p>
        </w:tc>
        <w:tc>
          <w:tcPr>
            <w:tcW w:type="dxa" w:w="624"/>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Birimi</w:t>
            </w:r>
          </w:p>
        </w:tc>
        <w:tc>
          <w:tcPr>
            <w:tcW w:type="dxa" w:w="1020"/>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Miktarı</w:t>
            </w:r>
          </w:p>
        </w:tc>
        <w:tc>
          <w:tcPr>
            <w:tcW w:type="dxa" w:w="1247"/>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Birim fiyat (TL)</w:t>
            </w:r>
          </w:p>
        </w:tc>
        <w:tc>
          <w:tcPr>
            <w:tcW w:type="dxa" w:w="1361"/>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center"/>
            </w:pPr>
            <w:r>
              <w:rPr>
                <w:rFonts w:ascii="Calibri" w:hAnsi="Calibri"/>
                <w:b/>
                <w:i w:val="0"/>
                <w:color w:val="000000"/>
                <w:sz w:val="16"/>
              </w:rPr>
              <w:t>Tutar (TL)</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Kümes A Blok</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TKDK-0042</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 cm poliüretan dolgulu (üst min. 0,40 mm, alt min. 0,30 mm) boyalı galvanizli sac levhalar ile ısı yalıtımlı çatı kaplaması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1.204,980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1.364,72</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1.644.460,31</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30.120.2016</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Otomatik transfer şalteri 4 x 200 A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38.544,21</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38.544,21</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Kümes A Blok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1.683.004,52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Kümes B Blok</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TKDK-0042</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6 cm poliüretan dolgulu (üst min. 0,40 mm, alt min. 0,30 mm) boyalı galvanizli sac levhalar ile ısı yalıtımlı çatı kaplaması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1.204,980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1.364,72</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1.644.460,31</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30.120.2016</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Otomatik transfer şalteri 4 x 200 A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38.544,21</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38.544,21</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Kümes B Blok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1.683.004,52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Gübre Çukuru</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542,700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32.751,95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11,934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32.823,87</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93,190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275.884,34</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363,260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313.783,99</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7,599</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296.704,78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15.160.1004</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14 - Ø 28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0,564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37.532,19</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21.168,16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Gübre Çukuru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973.117,09</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Ölü Atma Çukuru</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142,000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8.569,70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1,984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5.456,89</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20,850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61.725,38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127,200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109.875,36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1,657</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64.697,96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Ölü Atma Çukuru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250.325,29</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Foseptik</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48,800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2.945,08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0,484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1.331,22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6,175</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18.280,78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41,400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35.761,32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0,587</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22.919,56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Foseptik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81.237,96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Yem Silosu Betonarme Kaideleri</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48,020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2.898,01</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1,922</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5.286,36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8,410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24.897,38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11,600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10.020,08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0,757</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29.557,25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Yem Silosu Betonarme Kaideleri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72.659,08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Su Deposu</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106,500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6.427,28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1,344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3.696,60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15,150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44.850,82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29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95,600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82.579,28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1,232</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48.103,74</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Su Deposu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185.657,72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Yağmur Suyu Deposu</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her derinlik ve her genişlikte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88,750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60,35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5.356,06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16/20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1,024</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2.750,45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2.816,46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12,300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36.413,54</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79,800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68.931,24</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1,230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48.025,65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Yağmur Suyu Deposu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161.542,95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Çevre Düzenlemesi ve Saha Altyapısı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15.120.1001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Makine ile yumuşak ve sert toprak kazılması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260,943</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52,37</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13.665,58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TKDK-0091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Betonarme direkli galvanizli tel örgü çit yapılması (Tip-1)</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361,040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940,84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339.680,87</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43.527.1001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Çapı 150 mm HDPE koruge boru döşenmesi (SN 8, lastik conta ve boru bedeli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50,000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330,70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16.535,00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15.150.1005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 santralinde üretilen veya satın alınan ve beton pompasıyla basılan, C 25/30 basınç dayanım sınıfında, gri renkte, normal hazır beton dökülmesi (beton nakli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m³</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1,566</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2.960,45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4.636,06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15.180.1003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Plywood ile düz yüzeyli betonarme kalıbı yapılması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m²</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14,400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863,80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12.438,72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15.160.1003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Ø 8 - Ø 12 mm nervürlü beton çelik çubuğu, çubukların kesilmesi, bükülmesi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ton</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0,141</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39.045,24</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5.505,38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15.560.1003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Betonarme kompozit rögar kapağı temini ve yerine konulması</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3.744,30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14.977,20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30.100.1104</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Ana dağıtım panosu (dikili tip galvanizli sac, en az 700 mm en, 400 mm derinlik)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31.602,33</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31.602,33</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30.100.2106</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Sayaç panosu (sıva üstü galvanizli sac tablo, 0,50-0,60 m²)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8.179,25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8.179,25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30.135.3201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Üç fazlı zaman tarifeli elektronik aktif sayaç, en az 5(100) A, 3x230/400 V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1.504,15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1.504,15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30.110.1104</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Termik-manyetik kompakt şalter 3x160 A, Icu 35 kA — ana giriş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4.753,16</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4.753,16</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30.115.1003</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Kaçak akım koruma şalteri 2x63 A, 30 mA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1.079,20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2.158,40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30.140.3105</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YVV (NYY) 1 kV yeraltı kablosu ile besleme hattı tesisi — 1x35 mm²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50,000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277,15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13.857,50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49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30.140.3101</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YVV (NYY) 1 kV yeraltı kablosu ile besleme hattı tesisi — 1x6 mm²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m</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50,000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51,25</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2.562,50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30.172.1706</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Aydınlatma direği — taban çapı en az 80 mm, yükseklik en az 4,00 m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6.229,12</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24.916,48</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51</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30.170.4002</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LED projektör, ışık akısı en az 5100 lm (%25 müteahhit kârı dahil)</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7.632,76</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30.531,04</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Çevre Düzenlemesi ve Saha Altyapısı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527.503,62</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i w:val="0"/>
                <w:color w:val="000000"/>
                <w:sz w:val="16"/>
              </w:rPr>
              <w:t>Sıhhi Tesisat</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left"/>
            </w:pP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52</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Temiz su tesisatı — PPRC boru ve ek parçaları, 1/2" - 1 1/4" kolon ve kat tesisatı, küresel vanalar, boru askı ve kılıfları (kolon şemasına göre)</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53</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Pis su tesisatı — Ø50 / Ø70 / Ø100 sert PVC boru, kolon ve yatay hatlar, temizleme kapakları, yer süzgeçleri</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54</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Termosifon — sıcak su üretimi (proje raporu: sıcak su hatları termosifon vasıtasıyla)</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55</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Temiz su tesisatı — PPRC boru ve ek parçaları, 1/2" - 1 1/4" kolon ve kat tesisatı, küresel vanalar, boru askı ve kılıfları (kolon şemasına göre)</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38.000,00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56</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Pis su tesisatı — Ø50 / Ø70 / Ø100 sert PVC boru, kolon ve yatay hatlar, temizleme kapakları, yer süzgeçleri</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tk</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27.000,00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57</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Termosifon — sıcak su üretimi (proje raporu: sıcak su hatları termosifon vasıtasıyla)</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13.000,00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58</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Şebeke su bağlantısı ve 2" su sayacı — temiz su girişi 80 YB</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26.000,00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26.000,00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59</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Hidrofor — Q = 2 m³/h, P = 33-38 mSS</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48.000,00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60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w:t>
            </w: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Tesisat hidroforu — 0,3 m³/h, 30 mSS (3A)</w:t>
            </w: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center"/>
            </w:pPr>
            <w:r>
              <w:rPr>
                <w:rFonts w:ascii="Calibri" w:hAnsi="Calibri"/>
                <w:b w:val="0"/>
                <w:i w:val="0"/>
                <w:color w:val="000000"/>
                <w:sz w:val="16"/>
              </w:rPr>
              <w:t>ad</w:t>
            </w: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1,000</w:t>
            </w: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19.000,00</w:t>
            </w: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val="0"/>
                <w:i w:val="0"/>
                <w:color w:val="000000"/>
                <w:sz w:val="16"/>
              </w:rPr>
              <w:t>19.000,00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Sıhhi Tesisat ara toplamı</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249.000,00</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ARA TOPLAM (KDV hariç)</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5.867.052,75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KDV (%20)</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1.173.410,55</w:t>
            </w:r>
          </w:p>
        </w:tc>
      </w:tr>
      <w:tr>
        <w:tc>
          <w:tcPr>
            <w:tcW w:type="dxa" w:w="510"/>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i w:val="0"/>
                <w:color w:val="000000"/>
                <w:sz w:val="16"/>
              </w:rPr>
              <w:t>GENEL TOPLAM (KDV dâhil)</w:t>
            </w:r>
          </w:p>
        </w:tc>
        <w:tc>
          <w:tcPr>
            <w:tcW w:type="dxa" w:w="1191"/>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4479"/>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624"/>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020"/>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247"/>
            <w:tcBorders>
              <w:top w:val="single" w:sz="4" w:space="0" w:color="808080"/>
              <w:left w:val="single" w:sz="4" w:space="0" w:color="808080"/>
              <w:bottom w:val="single" w:sz="4" w:space="0" w:color="808080"/>
              <w:right w:val="single" w:sz="4" w:space="0" w:color="808080"/>
            </w:tcBorders>
          </w:tcPr>
          <w:p>
            <w:pPr>
              <w:spacing w:before="20" w:after="20"/>
              <w:jc w:val="left"/>
            </w:pPr>
          </w:p>
        </w:tc>
        <w:tc>
          <w:tcPr>
            <w:tcW w:type="dxa" w:w="1361"/>
            <w:tcBorders>
              <w:top w:val="single" w:sz="4" w:space="0" w:color="808080"/>
              <w:left w:val="single" w:sz="4" w:space="0" w:color="808080"/>
              <w:bottom w:val="single" w:sz="4" w:space="0" w:color="808080"/>
              <w:right w:val="single" w:sz="4" w:space="0" w:color="808080"/>
            </w:tcBorders>
          </w:tcPr>
          <w:p>
            <w:pPr>
              <w:spacing w:before="20" w:after="20"/>
              <w:jc w:val="right"/>
            </w:pPr>
            <w:r>
              <w:rPr>
                <w:rFonts w:ascii="Calibri" w:hAnsi="Calibri"/>
                <w:b/>
                <w:i w:val="0"/>
                <w:color w:val="000000"/>
                <w:sz w:val="16"/>
              </w:rPr>
              <w:t>7.040.463,30</w:t>
            </w:r>
          </w:p>
        </w:tc>
      </w:tr>
    </w:tbl>
    <w:p>
      <w:pPr>
        <w:spacing w:after="80"/>
      </w:pPr>
    </w:p>
    <w:p>
      <w:pPr>
        <w:spacing w:after="120"/>
      </w:pPr>
    </w:p>
    <w:p>
      <w:pPr>
        <w:spacing w:before="120" w:after="60"/>
      </w:pPr>
      <w:r>
        <w:rPr>
          <w:rFonts w:ascii="Calibri" w:hAnsi="Calibri"/>
          <w:b/>
          <w:i w:val="0"/>
          <w:color w:val="000000"/>
          <w:sz w:val="20"/>
        </w:rPr>
        <w:t>Teslim ve ödeme şartları</w:t>
      </w:r>
    </w:p>
    <w:tbl>
      <w:tblPr>
        <w:tblW w:type="auto" w:w="0"/>
        <w:jc w:val="center"/>
        <w:tblLayout w:type="fixed"/>
        <w:tblLook w:firstColumn="1" w:firstRow="1" w:lastColumn="0" w:lastRow="0" w:noHBand="0" w:noVBand="1" w:val="04A0"/>
      </w:tblPr>
      <w:tblGrid>
        <w:gridCol w:w="5216"/>
        <w:gridCol w:w="5216"/>
      </w:tblGrid>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Para birimi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Türk Lirası (TL)</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Teslim yeri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İnebeyli Mahallesi, 138 ada 17 parsel, Karamürsel / KOCAELİ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Teslim süresi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Sözleşme tarihinden itibaren, iş programına göre</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Ödeme şekli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Hakediş / teslimat karşılığı, banka havalesi</w:t>
            </w:r>
          </w:p>
        </w:tc>
      </w:tr>
      <w:tr>
        <w:tc>
          <w:tcPr>
            <w:tcW w:type="dxa" w:w="2526"/>
            <w:tcBorders>
              <w:top w:val="single" w:sz="4" w:space="0" w:color="808080"/>
              <w:left w:val="single" w:sz="4" w:space="0" w:color="808080"/>
              <w:bottom w:val="single" w:sz="4" w:space="0" w:color="808080"/>
              <w:right w:val="single" w:sz="4" w:space="0" w:color="808080"/>
            </w:tcBorders>
            <w:shd w:val="clear" w:color="auto" w:fill="EDEDED"/>
          </w:tcPr>
          <w:p>
            <w:pPr>
              <w:spacing w:before="20" w:after="20"/>
              <w:jc w:val="left"/>
            </w:pPr>
            <w:r>
              <w:rPr>
                <w:rFonts w:ascii="Calibri" w:hAnsi="Calibri"/>
                <w:b/>
                <w:i w:val="0"/>
                <w:color w:val="000000"/>
                <w:sz w:val="16"/>
              </w:rPr>
              <w:t>Fiyat geçerliliği</w:t>
            </w:r>
          </w:p>
        </w:tc>
        <w:tc>
          <w:tcPr>
            <w:tcW w:type="dxa" w:w="7906"/>
            <w:tcBorders>
              <w:top w:val="single" w:sz="4" w:space="0" w:color="808080"/>
              <w:left w:val="single" w:sz="4" w:space="0" w:color="808080"/>
              <w:bottom w:val="single" w:sz="4" w:space="0" w:color="808080"/>
              <w:right w:val="single" w:sz="4" w:space="0" w:color="808080"/>
            </w:tcBorders>
          </w:tcPr>
          <w:p>
            <w:pPr>
              <w:spacing w:before="20" w:after="20"/>
              <w:jc w:val="left"/>
            </w:pPr>
            <w:r>
              <w:rPr>
                <w:rFonts w:ascii="Calibri" w:hAnsi="Calibri"/>
                <w:b w:val="0"/>
                <w:i w:val="0"/>
                <w:color w:val="000000"/>
                <w:sz w:val="16"/>
              </w:rPr>
              <w:t>26.12.2027</w:t>
            </w:r>
          </w:p>
        </w:tc>
      </w:tr>
    </w:tbl>
    <w:p>
      <w:pPr>
        <w:spacing w:after="80"/>
      </w:pPr>
    </w:p>
    <w:p>
      <w:pPr>
        <w:spacing w:after="120"/>
      </w:pPr>
    </w:p>
    <w:p>
      <w:pPr>
        <w:spacing w:before="120" w:after="60"/>
      </w:pPr>
      <w:r>
        <w:rPr>
          <w:rFonts w:ascii="Calibri" w:hAnsi="Calibri"/>
          <w:b/>
          <w:i w:val="0"/>
          <w:color w:val="000000"/>
          <w:sz w:val="20"/>
        </w:rPr>
        <w:t>Açıklamalar</w:t>
      </w:r>
    </w:p>
    <w:p>
      <w:pPr>
        <w:ind w:left="340"/>
        <w:jc w:val="both"/>
      </w:pPr>
      <w:r>
        <w:rPr>
          <w:rFonts w:ascii="Calibri" w:hAnsi="Calibri"/>
          <w:b w:val="0"/>
          <w:i w:val="0"/>
          <w:color w:val="000000"/>
          <w:sz w:val="18"/>
        </w:rPr>
        <w:t>1. Bu proforma, yatırımın hibe kapsamı dışında bırakılan yapım işlerini kapsar. Poz numaraları ve miktarlar keşif özetleri ve metraj cetvelleriyle birebir aynıdır. Birim fiyatlar ÇŞB 2026 birim fiyat kitabı ve TKDK 17.02.2026 Özel Poz Tablosu fiyatlarına %16 tenzilat uygulanarak bulunmuştur; hibe kapsamındaki işlerle aynı esastır.</w:t>
      </w:r>
    </w:p>
    <w:p>
      <w:pPr>
        <w:ind w:left="340"/>
        <w:jc w:val="both"/>
      </w:pPr>
      <w:r>
        <w:rPr>
          <w:rFonts w:ascii="Calibri" w:hAnsi="Calibri"/>
          <w:b w:val="0"/>
          <w:i w:val="0"/>
          <w:color w:val="000000"/>
          <w:sz w:val="18"/>
        </w:rPr>
        <w:t xml:space="preserve">2. Bu harcama IPARD III kapsamında </w:t>
      </w:r>
      <w:r>
        <w:rPr>
          <w:rFonts w:ascii="Calibri" w:hAnsi="Calibri"/>
          <w:b/>
          <w:i w:val="0"/>
          <w:color w:val="000000"/>
          <w:sz w:val="18"/>
        </w:rPr>
        <w:t>uygun olmayan harcamadır</w:t>
      </w:r>
      <w:r>
        <w:rPr>
          <w:rFonts w:ascii="Calibri" w:hAnsi="Calibri"/>
          <w:b w:val="0"/>
          <w:i w:val="0"/>
          <w:color w:val="000000"/>
          <w:sz w:val="18"/>
        </w:rPr>
        <w:t>; hibeye esas tutara girmez, tamamı başvuru sahibinin öz kaynağından karşılanır ve Başvuru Formu eki A3.4 tablosunda beyan edilir.</w:t>
      </w:r>
    </w:p>
    <w:p>
      <w:pPr>
        <w:ind w:left="340"/>
        <w:jc w:val="both"/>
      </w:pPr>
      <w:r>
        <w:rPr>
          <w:rFonts w:ascii="Calibri" w:hAnsi="Calibri"/>
          <w:b w:val="0"/>
          <w:i w:val="0"/>
          <w:color w:val="000000"/>
          <w:sz w:val="18"/>
        </w:rPr>
        <w:t>3. KDV, IPARD'da hiçbir harcama alanında uygun harcama değildir; A3 tablolarına KDV hariç tutar yazılır.</w:t>
      </w:r>
    </w:p>
    <w:p>
      <w:pPr>
        <w:ind w:left="340"/>
        <w:jc w:val="both"/>
      </w:pPr>
      <w:r>
        <w:rPr>
          <w:rFonts w:ascii="Calibri" w:hAnsi="Calibri"/>
          <w:b w:val="0"/>
          <w:i w:val="0"/>
          <w:color w:val="000000"/>
          <w:sz w:val="18"/>
        </w:rPr>
        <w:t xml:space="preserve">4. </w:t>
      </w:r>
      <w:r>
        <w:rPr>
          <w:rFonts w:ascii="Calibri" w:hAnsi="Calibri"/>
          <w:b/>
          <w:i w:val="0"/>
          <w:color w:val="000000"/>
          <w:sz w:val="18"/>
        </w:rPr>
        <w:t>Sıhhi tesisat kalemlerinin birim fiyatları piyasa araştırmasına dayanan tahmindir; kitap fiyatı değildir.</w:t>
      </w:r>
      <w:r>
        <w:rPr>
          <w:rFonts w:ascii="Calibri" w:hAnsi="Calibri"/>
          <w:b w:val="0"/>
          <w:i w:val="0"/>
          <w:color w:val="000000"/>
          <w:sz w:val="18"/>
        </w:rPr>
        <w:t xml:space="preserve"> Elimizdeki ÇŞB 2026 birim fiyat kitabında sıhhi tesisat fasikülü bulunmadığından bu kalemlere %16 tenzilat uygulanmamıştır — tenzilat kitap fiyatına uygulanır. Fiyatların kuruluşu kitabın kendi esasıyla aynıdır: malzeme piyasa bedeli, işçilik (ÇŞB 2026 rayiç listesi — tesisat ustası 310,00 TL/saat, usta yardımcısı 230,00 TL/saat) ve %25 müteahhit kârı ile genel giderleri. Tutarlar KDV hariç, montaj dâhildir. Miktarlar onaylı sıhhi tesisat projesinden alınmıştır.</w:t>
      </w:r>
    </w:p>
    <w:p>
      <w:pPr>
        <w:ind w:left="340"/>
        <w:jc w:val="both"/>
      </w:pPr>
      <w:r>
        <w:rPr>
          <w:rFonts w:ascii="Calibri" w:hAnsi="Calibri"/>
          <w:b w:val="0"/>
          <w:i w:val="0"/>
          <w:color w:val="000000"/>
          <w:sz w:val="18"/>
        </w:rPr>
        <w:t>5. Sıhhi tesisat kalemleri keşif özetinde yer almaz — hibe kapsamı Kümes A ve B bloklarının yapım işleriyle sınırlıdır; tesisat uygun olmayan harcama olarak burada beyan edilir ve tamamı öz kaynaktan karşılanır.</w:t>
      </w:r>
    </w:p>
    <w:p>
      <w:pPr>
        <w:spacing w:after="200"/>
      </w:pPr>
    </w:p>
    <w:tbl>
      <w:tblPr>
        <w:tblW w:type="auto" w:w="0"/>
        <w:jc w:val="center"/>
        <w:tblLayout w:type="fixed"/>
        <w:tblLook w:firstColumn="1" w:firstRow="1" w:lastColumn="0" w:lastRow="0" w:noHBand="0" w:noVBand="1" w:val="04A0"/>
      </w:tblPr>
      <w:tblGrid>
        <w:gridCol w:w="5216"/>
        <w:gridCol w:w="5216"/>
      </w:tblGrid>
      <w:tr>
        <w:tc>
          <w:tcPr>
            <w:tcW w:type="dxa" w:w="5216"/>
          </w:tcPr>
          <w:p>
            <w:pPr>
              <w:spacing w:before="20" w:after="20"/>
              <w:jc w:val="center"/>
            </w:pPr>
            <w:r>
              <w:rPr>
                <w:rFonts w:ascii="Calibri" w:hAnsi="Calibri"/>
                <w:b w:val="0"/>
                <w:i w:val="0"/>
                <w:color w:val="000000"/>
                <w:sz w:val="16"/>
              </w:rPr>
              <w:t>Düzenleyen — kaşe ve imza</w:t>
            </w:r>
          </w:p>
        </w:tc>
        <w:tc>
          <w:tcPr>
            <w:tcW w:type="dxa" w:w="5216"/>
          </w:tcPr>
          <w:p>
            <w:pPr>
              <w:spacing w:before="20" w:after="20"/>
              <w:jc w:val="center"/>
            </w:pPr>
            <w:r>
              <w:rPr>
                <w:rFonts w:ascii="Calibri" w:hAnsi="Calibri"/>
                <w:b w:val="0"/>
                <w:i w:val="0"/>
                <w:color w:val="000000"/>
                <w:sz w:val="16"/>
              </w:rPr>
              <w:t>Alıcı — MUSAB EDER</w:t>
            </w:r>
          </w:p>
        </w:tc>
      </w:tr>
    </w:tbl>
    <w:p>
      <w:pPr>
        <w:spacing w:after="80"/>
      </w:pPr>
    </w:p>
    <w:sectPr w:rsidR="00FC693F" w:rsidRPr="0006063C" w:rsidSect="00034616">
      <w:footerReference w:type="default" r:id="rId9"/>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6"/>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