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p>
      <w:pPr>
        <w:spacing w:after="60"/>
        <w:jc w:val="both"/>
      </w:pPr>
      <w:r>
        <w:rPr>
          <w:rFonts w:ascii="Calibri" w:hAnsi="Calibri"/>
          <w:b w:val="0"/>
          <w:i w:val="0"/>
          <w:color w:val="000000"/>
          <w:sz w:val="18"/>
        </w:rPr>
        <w:t>Tablo 1 - Öngörülen Organizasyon Yapısındaki Yöneticiler</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p>
      <w:pPr>
        <w:spacing w:after="60"/>
        <w:jc w:val="both"/>
      </w:pPr>
      <w:r>
        <w:rPr>
          <w:rFonts w:ascii="Calibri" w:hAnsi="Calibri"/>
          <w:b w:val="0"/>
          <w:i w:val="0"/>
          <w:color w:val="000000"/>
          <w:sz w:val="18"/>
        </w:rPr>
        <w:t>Tablo 2 - Öngörülen Organizasyon Yapısında Tüm Çalışanlar ve Pozisyonları</w:t>
      </w: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2608"/>
        <w:gridCol w:w="2608"/>
        <w:gridCol w:w="2608"/>
        <w:gridCol w:w="2608"/>
      </w:tblGrid>
      <w:tr>
        <w:tc>
          <w:tcPr>
            <w:tcW w:type="dxa" w:w="294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Doğrudan İstihdam Tahmini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Dolaylı İstihdam Tahmini</w:t>
            </w:r>
          </w:p>
        </w:tc>
      </w:tr>
      <w:tr>
        <w:tc>
          <w:tcPr>
            <w:tcW w:type="dxa" w:w="29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r>
      <w:tr>
        <w:tc>
          <w:tcPr>
            <w:tcW w:type="dxa" w:w="29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%65</w:t>
      </w:r>
      <w:r>
        <w:rPr>
          <w:rFonts w:ascii="Calibri" w:hAnsi="Calibri"/>
          <w:b w:val="0"/>
          <w:i w:val="0"/>
          <w:color w:val="000000"/>
          <w:sz w:val="18"/>
        </w:rPr>
        <w:t>'tir: kanatlı eti sektöründe temel oran %60, başvuru sahibi 40 yaşın altında olduğundan genç çiftçi ilavesi %5.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194.346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10.253.395,43</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194.346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p>
      <w:pPr>
        <w:spacing w:after="60"/>
        <w:jc w:val="both"/>
      </w:pPr>
      <w:r>
        <w:rPr>
          <w:rFonts w:ascii="Calibri" w:hAnsi="Calibri"/>
          <w:b w:val="0"/>
          <w:i w:val="0"/>
          <w:color w:val="000000"/>
          <w:sz w:val="18"/>
        </w:rPr>
        <w:t>Tablo 3 - Toplam Yatırım Bütçesi ve Finansmanı Tablosu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15.326.769,66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15.326.769,66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20.847.828,73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20.847.828,73</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31.101.224,16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p>
      <w:pPr>
        <w:spacing w:after="60"/>
        <w:jc w:val="both"/>
      </w:pPr>
      <w:r>
        <w:rPr>
          <w:rFonts w:ascii="Calibri" w:hAnsi="Calibri"/>
          <w:b w:val="0"/>
          <w:i w:val="0"/>
          <w:color w:val="000000"/>
          <w:sz w:val="18"/>
        </w:rPr>
        <w:t>Tablo 4 - Kurulu Kapasite ve Tahmini Üretim Miktarı</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p>
      <w:pPr>
        <w:spacing w:after="60"/>
        <w:jc w:val="both"/>
      </w:pPr>
      <w:r>
        <w:rPr>
          <w:rFonts w:ascii="Calibri" w:hAnsi="Calibri"/>
          <w:b w:val="0"/>
          <w:i w:val="0"/>
          <w:color w:val="000000"/>
          <w:sz w:val="18"/>
        </w:rPr>
        <w:t>Mali değerlendirmede kullanılan kabuller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p>
      <w:pPr>
        <w:spacing w:after="60"/>
        <w:jc w:val="both"/>
      </w:pPr>
      <w:r>
        <w:rPr>
          <w:rFonts w:ascii="Calibri" w:hAnsi="Calibri"/>
          <w:b w:val="0"/>
          <w:i w:val="0"/>
          <w:color w:val="000000"/>
          <w:sz w:val="18"/>
        </w:rPr>
        <w:t>Tablo 5.1 - Tam Kapasitede İşletme Sermayesi İhtiyacı Tablosu (TL)</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508.085,60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bl>
    <w:p>
      <w:pPr>
        <w:spacing w:after="80"/>
      </w:pPr>
    </w:p>
    <w:p>
      <w:pPr>
        <w:spacing w:after="80"/>
      </w:pPr>
    </w:p>
    <w:p>
      <w:pPr>
        <w:spacing w:after="60"/>
        <w:jc w:val="both"/>
      </w:pPr>
      <w:r>
        <w:rPr>
          <w:rFonts w:ascii="Calibri" w:hAnsi="Calibri"/>
          <w:b w:val="0"/>
          <w:i w:val="0"/>
          <w:color w:val="000000"/>
          <w:sz w:val="18"/>
        </w:rPr>
        <w:t>Tablo 5.2 - İşletme Sermayesi Değişimi Tablosu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 — Tablo 6: Satış Gelirleri</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 — Tablo 7: Diğer Gelirler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 — Tablo 8 (TL)</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44.3</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 Paz. Satış ve Dağ. Giderleri — sözleşmeli üretimde doğmaz</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 — Tablo 9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r>
    </w:tbl>
    <w:p>
      <w:pPr>
        <w:spacing w:after="80"/>
      </w:pPr>
    </w:p>
    <w:p>
      <w:pPr>
        <w:spacing w:after="80"/>
      </w:pPr>
    </w:p>
    <w:p>
      <w:pPr>
        <w:spacing w:after="60"/>
        <w:jc w:val="both"/>
      </w:pPr>
      <w:r>
        <w:rPr>
          <w:rFonts w:ascii="Calibri" w:hAnsi="Calibri"/>
          <w:b w:val="0"/>
          <w:i w:val="0"/>
          <w:color w:val="000000"/>
          <w:sz w:val="18"/>
        </w:rPr>
        <w:t>5.3.3 Toplam Amortisman Giderleri — Tablo 10 (TL)</w:t>
      </w:r>
    </w:p>
    <w:tbl>
      <w:tblPr>
        <w:tblW w:type="auto" w:w="0"/>
        <w:jc w:val="center"/>
        <w:tblLayout w:type="fixed"/>
        <w:tblLook w:firstColumn="1" w:firstRow="1" w:lastColumn="0" w:lastRow="0" w:noHBand="0" w:noVBand="1" w:val="04A0"/>
      </w:tblPr>
      <w:tblGrid>
        <w:gridCol w:w="1097"/>
        <w:gridCol w:w="1097"/>
        <w:gridCol w:w="1097"/>
        <w:gridCol w:w="1097"/>
        <w:gridCol w:w="1097"/>
        <w:gridCol w:w="1097"/>
        <w:gridCol w:w="1097"/>
        <w:gridCol w:w="1097"/>
        <w:gridCol w:w="1097"/>
        <w:gridCol w:w="1097"/>
        <w:gridCol w:w="1097"/>
        <w:gridCol w:w="1097"/>
        <w:gridCol w:w="1097"/>
        <w:gridCol w:w="1097"/>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Sabit Kıymetler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Satın Alma Bedeli</w:t>
            </w:r>
          </w:p>
        </w:tc>
        <w:tc>
          <w:tcPr>
            <w:tcW w:type="dxa" w:w="68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Oran</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93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Toplam</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Kalıntı Değer (10. yıl sonu, binalar)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17.313.205,80</w:t>
            </w:r>
          </w:p>
        </w:tc>
        <w:tc>
          <w:tcPr>
            <w:tcW w:type="dxa" w:w="68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935"/>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17.313.205,80</w:t>
            </w:r>
          </w:p>
        </w:tc>
      </w:tr>
    </w:tbl>
    <w:p>
      <w:pPr>
        <w:spacing w:after="80"/>
      </w:pPr>
    </w:p>
    <w:p>
      <w:pPr>
        <w:spacing w:after="80"/>
      </w:pPr>
    </w:p>
    <w:p>
      <w:pPr>
        <w:spacing w:after="60"/>
        <w:jc w:val="both"/>
      </w:pPr>
      <w:r>
        <w:rPr>
          <w:rFonts w:ascii="Calibri" w:hAnsi="Calibri"/>
          <w:b w:val="0"/>
          <w:i w:val="0"/>
          <w:color w:val="000000"/>
          <w:sz w:val="18"/>
        </w:rPr>
        <w:t>5.3.4 Genel Yönetim Giderleri — Tablo 11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r>
    </w:tbl>
    <w:p>
      <w:pPr>
        <w:spacing w:after="80"/>
      </w:pPr>
    </w:p>
    <w:p>
      <w:pPr>
        <w:spacing w:after="80"/>
      </w:pPr>
    </w:p>
    <w:p>
      <w:pPr>
        <w:spacing w:after="60"/>
        <w:jc w:val="both"/>
      </w:pPr>
      <w:r>
        <w:rPr>
          <w:rFonts w:ascii="Calibri" w:hAnsi="Calibri"/>
          <w:b w:val="0"/>
          <w:i w:val="0"/>
          <w:color w:val="000000"/>
          <w:sz w:val="18"/>
        </w:rPr>
        <w:t>5.3.5 Pazarlama, Satış ve Dağıtım Giderleri — Tablo 12 (TL)</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80"/>
      </w:pPr>
    </w:p>
    <w:p>
      <w:pPr>
        <w:spacing w:after="60"/>
        <w:jc w:val="both"/>
      </w:pPr>
      <w:r>
        <w:rPr>
          <w:rFonts w:ascii="Calibri" w:hAnsi="Calibri"/>
          <w:b w:val="0"/>
          <w:i w:val="0"/>
          <w:color w:val="000000"/>
          <w:sz w:val="18"/>
        </w:rPr>
        <w:t>5.3.6 Mali Giderler — Tablo 13 (TL)</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before="120" w:after="60"/>
      </w:pPr>
      <w:r>
        <w:rPr>
          <w:rFonts w:ascii="Calibri" w:hAnsi="Calibri"/>
          <w:b/>
          <w:i w:val="0"/>
          <w:color w:val="000000"/>
          <w:sz w:val="20"/>
        </w:rPr>
        <w:t>6. TAHMİNİ GELİR-GİDER ve NAKİT AKIŞ TABLOSU</w:t>
      </w:r>
    </w:p>
    <w:p>
      <w:pPr>
        <w:spacing w:after="60"/>
        <w:jc w:val="both"/>
      </w:pPr>
      <w:r>
        <w:rPr>
          <w:rFonts w:ascii="Calibri" w:hAnsi="Calibri"/>
          <w:b w:val="0"/>
          <w:i w:val="0"/>
          <w:color w:val="000000"/>
          <w:sz w:val="18"/>
        </w:rPr>
        <w:t>Tablo 14.1 - Tahmini Gelir-Gider Tablosu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p>
      <w:pPr>
        <w:spacing w:after="60"/>
        <w:jc w:val="both"/>
      </w:pPr>
      <w:r>
        <w:rPr>
          <w:rFonts w:ascii="Calibri" w:hAnsi="Calibri"/>
          <w:b w:val="0"/>
          <w:i w:val="0"/>
          <w:color w:val="000000"/>
          <w:sz w:val="18"/>
        </w:rPr>
        <w:t>Tablo 14.2 - Tahmini Nakit Akış Tablosu (TL)</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Endeksler</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 Dönemi</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IX. IPARD Destek Miktarı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 Özkaynaklar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 Banka Kredisi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XII. Diğer Kaynaklar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XIV. Amortismanlar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XV. Kredi Anapara Ödemesi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5.510.428,80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8.265.643,20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11.020.857,60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13.776.072,00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16.531.286,40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19.286.500,80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22.041.715,20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24.796.929,60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27.552.144,00</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p>
      <w:pPr>
        <w:spacing w:after="60"/>
        <w:jc w:val="both"/>
      </w:pPr>
      <w:r>
        <w:rPr>
          <w:rFonts w:ascii="Calibri" w:hAnsi="Calibri"/>
          <w:b w:val="0"/>
          <w:i w:val="0"/>
          <w:color w:val="000000"/>
          <w:sz w:val="18"/>
        </w:rPr>
        <w:t>1. Öz kaynaklar</w:t>
      </w: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Banka mevduatı</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Hesap dökümü ile belgelenecektir.</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Gayrimenkul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Takyidatlı tapu kayıt belgesi ile belgelenecektir.</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20.847.828,73</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8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