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HİZMET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HİZMET ALIMI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3 (üç) farklı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Bedelin 20.000 Avro'yu aşması hâlinde üç farklı tedarikçiden üç geçerli teklif zorunludur; piyasa araştırması sonucunda bedel bu eşiğin altında kalırsa bir geçerli teklif yeterlidir.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başvurumuz kapsamında iş planı (B2) hazırlanması, mimarlık ve mühendislik projelerinin düzenlenmesi ve fizibilite çalışması hizmetleri için teklif verilmesini rica ederiz.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oda kayıt belgesi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Hizmeti verecek personelin </w:t>
      </w:r>
      <w:r>
        <w:rPr>
          <w:rFonts w:ascii="Calibri" w:hAnsi="Calibri"/>
          <w:b/>
          <w:i w:val="0"/>
          <w:color w:val="000000"/>
          <w:sz w:val="18"/>
        </w:rPr>
        <w:t>meslek odası kayıt belgeleri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(mimar, inşaat / makine / elektrik mühendisi, ziraat mühendisi).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Benzer işlere ait </w:t>
      </w:r>
      <w:r>
        <w:rPr>
          <w:rFonts w:ascii="Calibri" w:hAnsi="Calibri"/>
          <w:b/>
          <w:i w:val="0"/>
          <w:color w:val="000000"/>
          <w:sz w:val="18"/>
        </w:rPr>
        <w:t>referans listesi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 </w:t>
      </w:r>
      <w:r>
        <w:rPr>
          <w:rFonts w:ascii="Calibri" w:hAnsi="Calibri"/>
          <w:b/>
          <w:i w:val="0"/>
          <w:color w:val="000000"/>
          <w:sz w:val="18"/>
        </w:rPr>
        <w:t>iş planı (B2) hazırlanması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, </w:t>
      </w:r>
      <w:r>
        <w:rPr>
          <w:rFonts w:ascii="Calibri" w:hAnsi="Calibri"/>
          <w:b/>
          <w:i w:val="0"/>
          <w:color w:val="000000"/>
          <w:sz w:val="18"/>
        </w:rPr>
        <w:t>mimarlık ve mühendislik projelerinin düzenlenmesi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fizibilite çalışması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kalemlerini ayrı ayrı fiyatlandırmalıdır.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Rehber gereği hizmet alımı teklifi, diğer satın alımlardan </w:t>
      </w:r>
      <w:r>
        <w:rPr>
          <w:rFonts w:ascii="Calibri" w:hAnsi="Calibri"/>
          <w:b/>
          <w:i w:val="0"/>
          <w:color w:val="000000"/>
          <w:sz w:val="18"/>
        </w:rPr>
        <w:t>önce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alınacak ve diğer alımlar seçilen teklife göre şekillendirilecektir.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Hizmet bedeli, IPARD'da </w:t>
      </w:r>
      <w:r>
        <w:rPr>
          <w:rFonts w:ascii="Calibri" w:hAnsi="Calibri"/>
          <w:b/>
          <w:i w:val="0"/>
          <w:color w:val="000000"/>
          <w:sz w:val="18"/>
        </w:rPr>
        <w:t>toplam uygun harcamanın belirli bir oranıyla sınırlıdır</w:t>
      </w:r>
      <w:r>
        <w:rPr>
          <w:rFonts w:ascii="Calibri" w:hAnsi="Calibri"/>
          <w:b w:val="0"/>
          <w:i w:val="0"/>
          <w:color w:val="000000"/>
          <w:sz w:val="18"/>
        </w:rPr>
        <w:t>; bu sınırı aşan kısım uygun olmayan harcama sayılır.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13. Teslim edilecek çıktılar (iş planı, projeler, raporlar) ve teslim süreleri teklifinizde ayrı ayrı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Hizmet alımı teknik şartnamesi (iş planı içeriği, proje kapsamı, teslim edilecek çıktılar).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Yatırımın tanımı ve yapı programı.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