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PROFORMA FATURA</w:t>
      </w:r>
    </w:p>
    <w:p>
      <w:pPr>
        <w:jc w:val="center"/>
      </w:pPr>
      <w:r>
        <w:rPr>
          <w:rFonts w:ascii="Calibri" w:hAnsi="Calibri"/>
          <w:b/>
          <w:i w:val="0"/>
          <w:color w:val="000000"/>
          <w:sz w:val="22"/>
        </w:rPr>
        <w:t>KÜMES ISITMA SİSTEMİ ALIMI</w:t>
      </w:r>
    </w:p>
    <w:p>
      <w:pPr>
        <w:spacing w:after="80"/>
      </w:pP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Proforma no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2026/38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Tarih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26.08.2026</w:t>
      </w:r>
    </w:p>
    <w:p>
      <w:pPr>
        <w:spacing w:before="0" w:after="20"/>
      </w:pPr>
      <w:r>
        <w:rPr>
          <w:rFonts w:ascii="Calibri" w:hAnsi="Calibri"/>
          <w:b/>
          <w:i w:val="0"/>
          <w:color w:val="000000"/>
          <w:sz w:val="17"/>
        </w:rPr>
        <w:t>Geçerlilik</w:t>
      </w:r>
      <w:r>
        <w:rPr>
          <w:rFonts w:ascii="Calibri" w:hAnsi="Calibri"/>
          <w:b w:val="0"/>
          <w:i w:val="0"/>
          <w:color w:val="000000"/>
          <w:sz w:val="17"/>
        </w:rPr>
        <w:t xml:space="preserve">  :  </w:t>
      </w:r>
      <w:r>
        <w:rPr>
          <w:rFonts w:ascii="Calibri" w:hAnsi="Calibri"/>
          <w:b w:val="0"/>
          <w:i w:val="0"/>
          <w:color w:val="000000"/>
          <w:sz w:val="17"/>
        </w:rPr>
        <w:t>26.12.2027</w:t>
      </w: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Düzenleyen (satıcı)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Ticari unvanı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YAĞMUR TEKNİK ISI VE ENDÜSTRİ MAKİNALARI SANAYİ TİCARET LİMİTED ŞİRKETİ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Yetkilisi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Erkan Yağmur (Müdür — münferiden temsile yetkili)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Bahçelievler Mah. Bağımsızlık Cad. No: 18 İç Kapı No: 1 Torbalı / İZMİR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Vergi dairesi / no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Torbalı / 9280050531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Ticaret sicil no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7828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Mersis no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0928005053100001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Telefon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0232 462 35 15 · 0232 486 12 18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E-posta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muhasebe@yagmurteknik.com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Alıcı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Adı, soyadı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MUSAB EDER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T.C. kimlik no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46441018266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Adresi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İnebeyli Mahallesi, 138 ada 17 parsel, Karamürsel / KOCAELİ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Yatırımın adı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MUSAB EDER ÇİFTLİĞİ KANATLI (ETLİK PİLİÇ) KÜMESİ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Kalemler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Sıra</w:t>
            </w:r>
          </w:p>
        </w:tc>
        <w:tc>
          <w:tcPr>
            <w:tcW w:type="dxa" w:w="1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Poz / kod</w:t>
            </w: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Açıklama</w:t>
            </w:r>
          </w:p>
        </w:tc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Birimi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Miktarı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Birim fiyat (TL)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Tutar (TL)</w:t>
            </w: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100-100-400</w:t>
            </w: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Merkezi sistem katı yakıtlı sıcak hava üreteci (kazan)</w:t>
            </w:r>
          </w:p>
        </w:tc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</w:t>
            </w: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2,000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355.000,00</w:t>
            </w: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710.000,00</w:t>
            </w: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ARA TOPLAM (KDV hariç)</w:t>
            </w:r>
          </w:p>
        </w:tc>
        <w:tc>
          <w:tcPr>
            <w:tcW w:type="dxa" w:w="1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710.000,00</w:t>
            </w: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KDV (%20)</w:t>
            </w:r>
          </w:p>
        </w:tc>
        <w:tc>
          <w:tcPr>
            <w:tcW w:type="dxa" w:w="1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142.000,00</w:t>
            </w:r>
          </w:p>
        </w:tc>
      </w:tr>
      <w:tr>
        <w:tc>
          <w:tcPr>
            <w:tcW w:type="dxa" w:w="51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GENEL TOPLAM (KDV dâhil)</w:t>
            </w:r>
          </w:p>
        </w:tc>
        <w:tc>
          <w:tcPr>
            <w:tcW w:type="dxa" w:w="119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4479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62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02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136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852.000,00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Teslim ve ödeme şartları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Para birimi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Türk Lirası (TL)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Teslim yeri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İnebeyli Mahallesi, 138 ada 17 parsel, Karamürsel / KOCAELİ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Teslim süresi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Sözleşme tarihinden itibaren, iş programına göre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Ödeme şekli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Hakediş / teslimat karşılığı, banka havalesi</w:t>
            </w:r>
          </w:p>
        </w:tc>
      </w:tr>
      <w:tr>
        <w:tc>
          <w:tcPr>
            <w:tcW w:type="dxa" w:w="252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Fiyat geçerliliği</w:t>
            </w:r>
          </w:p>
        </w:tc>
        <w:tc>
          <w:tcPr>
            <w:tcW w:type="dxa" w:w="790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26.12.2027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60"/>
      </w:pPr>
      <w:r>
        <w:rPr>
          <w:rFonts w:ascii="Calibri" w:hAnsi="Calibri"/>
          <w:b/>
          <w:i w:val="0"/>
          <w:color w:val="000000"/>
          <w:sz w:val="20"/>
        </w:rPr>
        <w:t>Açıklamalar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1. Bu proforma, tedarikçinin 28.08.2026 tarih ve 4992 numaralı teklifi esas alınarak düzenlenmiştir. Her kümes bloğu için bir adet olmak üzere iki adettir; kapasite kümesin ısı yükünden hesaplanmış ve ısıtma teknik şartnamesinde gösterilmiştir.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2. Bu harcama IPARD III kapsamında </w:t>
      </w:r>
      <w:r>
        <w:rPr>
          <w:rFonts w:ascii="Calibri" w:hAnsi="Calibri"/>
          <w:b/>
          <w:i w:val="0"/>
          <w:color w:val="000000"/>
          <w:sz w:val="18"/>
        </w:rPr>
        <w:t>uygun olmayan harcamadır</w:t>
      </w:r>
      <w:r>
        <w:rPr>
          <w:rFonts w:ascii="Calibri" w:hAnsi="Calibri"/>
          <w:b w:val="0"/>
          <w:i w:val="0"/>
          <w:color w:val="000000"/>
          <w:sz w:val="18"/>
        </w:rPr>
        <w:t>; hibeye esas tutara girmez, tamamı başvuru sahibinin öz kaynağından karşılanır ve Başvuru Formu eki A3.4 tablosunda beyan edilir.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3. KDV, IPARD'da hiçbir harcama alanında uygun harcama değildir; A3 tablolarına KDV hariç tutar yazılır.</w:t>
      </w:r>
    </w:p>
    <w:p>
      <w:pPr>
        <w:ind w:left="34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4. Bu nüsha tedarikçinin kendi teklifinden proforma düzenine aktarılmıştır. </w:t>
      </w:r>
      <w:r>
        <w:rPr>
          <w:rFonts w:ascii="Calibri" w:hAnsi="Calibri"/>
          <w:b/>
          <w:i w:val="0"/>
          <w:color w:val="000000"/>
          <w:sz w:val="18"/>
        </w:rPr>
        <w:t>Geçerli olması için tedarikçinin kendi antetli kâğıdında, kaşe ve imzasıyla düzenlemesi gerekir</w:t>
      </w:r>
      <w:r>
        <w:rPr>
          <w:rFonts w:ascii="Calibri" w:hAnsi="Calibri"/>
          <w:b w:val="0"/>
          <w:i w:val="0"/>
          <w:color w:val="000000"/>
          <w:sz w:val="18"/>
        </w:rPr>
        <w:t>; aşağıdaki kaşe-imza alanı bu nedenle boştur.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Düzenleyen — kaşe ve imza</w:t>
            </w:r>
          </w:p>
        </w:tc>
        <w:tc>
          <w:tcPr>
            <w:tcW w:type="dxa" w:w="5216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Alıcı — MUSAB EDER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