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 İçeriği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12. Çağrı Başvuru Çağrı Rehberi'nin (2026 - V12.0) kendi yapısına göre düzenlenmiştir. Musab Eder Çiftliği — kanatlı (etlik piliç) kümesi ve müştemilatı yapımı ile makine-ekipman alımı, gerçek kişi başvurusu.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ÖNCEKİ LİSTEYE GÖRE NE DEĞİŞTİ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Daha önce verilen 57 kalemlik liste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tematik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gruplanmıştı (idari · izinler · teknik proje · satın alma · iş planı · taahhütler). İçerik büyük ölçüde doğruydu; ancak rehber, paketin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 Bölüm 10'daki sıraya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göre düzenlenmesini ve bu sırayı gösteren bir İçerik Tablosu konmasını zorunlu tutuyor. Yanlış sırayla ciltlenen paket teslim aşamasında kabul edilmiyor. Bu liste doğru sırayı veriyor.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hiç yer almayan belgeler: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İçerik Tablosu · A3 Uygun/Uygun Olmayan Harcamalar Detaylı Tabloları (6 tablo) · A6 Maliyetleri Gerekçelendirme Tablosu · A8 Mevcut Varlıklar Listesi · A10 Makine-Ekipman Yerleşim Planı · Tek Hat Şeması · separatörler ve iki nüsha kuralı.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yanlış olanlar: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müstahsil makbuzları “son üç yıl”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bir yıl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taahhütnameler beş ayrı belge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 taahhütname (A1)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“40 yaş altına sıralama puanı”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destek oranına +%5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Kocaeli sıralama kriterinde puan almıyor sanılmıştı, aslında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 alıyor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İÇERİK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Paketin en başına konur. TKDK'nın yayımladığı formata uygun olmalı; her belgenin adı ve </w:t>
      </w:r>
      <w:r>
        <w:rPr>
          <w:rFonts w:ascii="Calibri" w:hAnsi="Calibri"/>
          <w:b/>
          <w:i w:val="0"/>
          <w:color w:val="000000"/>
          <w:sz w:val="18"/>
        </w:rPr>
        <w:t>sayfa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yazılmalı; her sayfası paraflanmalı, son sayfası imzalanmalıdır. </w:t>
      </w:r>
      <w:r>
        <w:rPr>
          <w:rFonts w:ascii="Calibri" w:hAnsi="Calibri"/>
          <w:b/>
          <w:i w:val="0"/>
          <w:color w:val="000000"/>
          <w:sz w:val="18"/>
        </w:rPr>
        <w:t>Teslimde kontrol edilir — yoksa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İçerik Tablosu · Paket tamamlandığında sayfa numaralarıyla birlikte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Online Proje Başvuru Sistemi'nde doldurulur, çıktısı alınıp imzalanır. Sistemdeki referans ve versiyon numarası ile paketteki çıktı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Online sistemde doldurulur.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 sitesinden indirilir, bilgisayar ortamında doldurulur, çıktısı imzalanır.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 · Formu TKDK sitesinden indirilecek.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RESMİ BELGELER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 başvurusunda aşağıdaki belgeler bu ek altında toplanır. Paraflanmaz; tahrip edilmiş, yırtılmış veya üzerinde düzeltme yapılmış belge sunulamaz.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Sözleşme aşamasında da borç bulunmamalıdır.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üzerinden.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ÇKS belgesi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sahibinin kendi adına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olmalıdır — rehber bunu açıkça şart koşuyor.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ÇKS/HKS kaydı ile mesleki yeterlilik ayrı kriterlerdir; ikisi de gereklidir.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Şerhli tapu kaydı · Başvuru sahibi adına olması 3. sıralama kriterinden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getirir.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Kocaeli Çevre ve Şehircilik İl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Kocaeli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başvuru sahibi adına.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Finansman kaynağına ilişkin tüm kanıtlayıcı belgeler başvuru aşamasında sunulmalıdır; yetersizse Kurum projeyi reddedebilir.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Lisanssız elektrik üreticileri için dağıtım sistemine bağlantı anlaşması · Yatırımda yenilenebilir enerji üretimi bulunmadığından GEREKMİYOR.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GEREKSİZ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/ UYGUN OLMAYAN HARCAMALAR DETAYLI TABLOLARI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A3.1.1, A3.1.2, A3.2, A3.3, A3.4 ve A3.5 tablolarından oluşur. 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 Sistemdeki tablo ile paketteki çıktı birebir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A3.1.1 · A3.1.2 · A3.2 · A3.3 · A3.4 · A3.5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21_A3_UYGUN_HARCAMALAR.xlsx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hazır: A3.1.1'de 82 yapım işleri kalemi, A3.1.2'de 8 ekipman kalemi, A3.4'te uygun olmayan harcama, A3.5'te formüllü icmal. Online sisteme buradan girilecek.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 Yapım işleri ve makine-ekipman için ayrı ayrı.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 · Teklif toplanacak. Kalem ve miktarlar 37 numaralı fiyatsız istek listesindedir; liste kümes mekanik ekipmanı ile ısıtma sistemini birlikte taşır.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· Teklif davet mektubu (16), 8 keşif özeti, teknik şartname, mahal listesi ve metraj cetvelleri hazır; teklif toplanacak.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— yapım, makine-ekipman, hizmet, görünürlük · 16, 17, 18 ve 19 numaralı belgeler. Rehber 6.1.1'in aradığı dokuz husus eksiksiz; başvuru sahibince imzalanıp paraflanacak.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· 20 numaralı belge. Rehber 6.1.6'daki sekiz kontrol, karşılaştırma tablosu, seçim gerekçesi ve çıkar ilişkisi beyanı.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SEÇİLMEYEN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Reddedilen teklifler de pakette bulunmak zorundadır; eksikse satın alma geçersiz sayılır.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MALİYETLERİ GEREKÇELENDİRME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TKDK sitesinden indirilir, bilgisayarda doldurulur, çıktısı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 xml:space="preserve">. Bir harcama kalemi için </w:t>
      </w:r>
      <w:r>
        <w:rPr>
          <w:rFonts w:ascii="Calibri" w:hAnsi="Calibri"/>
          <w:b/>
          <w:i w:val="0"/>
          <w:color w:val="000000"/>
          <w:sz w:val="18"/>
        </w:rPr>
        <w:t>tek teklif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alınmışsa o kalem için bu belge gerekmez.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· Teklifler tamamlandığında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YASAL MALİ TABLOLAR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kişide bilanço ve gelir tablosu yerine müstahsil makbuzları kullanılır.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Müstahsil makbuzları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Yalnızca paketin Kuruma sunum tarihinden önceki 1 YIL içinde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alınmış makbuzlar değerlendirmeye alınır. İş planı mevcut durum analizinden puan almak için önemlidir; teslimden sonra sunulanlar dikkate alınmaz.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VARLIKLAR LİSTESİ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(A8) · İşletmenin mevcut arazi, bina, makine ve hayvan varlığı yazılacak.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PROJELER, METRAJ CETVELİ VE TEK HAT ŞEMASI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Mimari, statik, elektrik tesisat ve mekanik tesisat projeleri ile metraj cetveli ve tek hat şeması. Paraflanmaz ve </w:t>
      </w:r>
      <w:r>
        <w:rPr>
          <w:rFonts w:ascii="Calibri" w:hAnsi="Calibri"/>
          <w:b/>
          <w:i w:val="0"/>
          <w:color w:val="000000"/>
          <w:sz w:val="18"/>
        </w:rPr>
        <w:t>numaralandırılmaz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Mevcut; ruhsat onaylı nüsha konacak.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(betonarme) · Mevcut; temel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(çelik) ve hesap raporu · Mevcut. Metrajdaki 88,096 ton profil kesitleri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· Yapı bazında; ağırlık cinsinden ayrı cetvel dâhil.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 · Elektrik projesinde ayrı pafta olarak istenir; kümes ölçüsü değiştiğinden yeniden çizilmesi gerekir.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MAKİNE-EKİPMAN YERLEŞİM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 ve numaralandırılmaz. Satın alınacak her makine ve ekipmanın kümes içindeki yerini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 · Yemleme ve sulama hatları, fanlar, klapeler, ped sistemi, silo ve kontrol panosunun yerleşimi. Mimari plan üzerine çizilecek.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YAPI RUHSATI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 ruhsatı — kümes A, kümes B ve müştemilat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Onay tarihi çağrı kapanış tarihinden ÖNCE olmalıdır.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Sonraysa başvuru uygun değerlendirilmez ve düzeltme hakkı yoktur. Foseptik, istinat ve bahçe duvarı ruhsatları sonradan sunulabilir.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Başvuru formu ve eklerinden sonra gelir; ayrıca 1'den başlayarak numaralandırılır. İlgili yerleri imzalanır.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B2 İş Planı · Toplam uygun harcama 180.000 Avro'nun üzerinde olduğu için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 zorunludur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 B1 veya B3 sunulursa proje reddedilir.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 · İş planındaki pazarlama ve gelir öngörüsünün dayanağı.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TEKNİK PROJE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 planından sonra gelir; ayrıca 1'den başlayarak numaralandırılır. Teknik Proje Hazırlama Rehberi'ne uygun olmalıdır.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 · Kapak, içindekiler ve açıklama raporu hazır.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EK-1 uygun harcama kalemlerine göre gruplu. Elektrik başlığı, kuvvetli akım birim fiyat listesi gelince tamamlanacak.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12. çağrı uygun harcama listesindeki minimum teknik özellik başlıklarına çevrilecek.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ÇŞB pozlarına %16 tenzilat uygulanmış hâli.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Yapı, iş kalemi ve EK-1 başlığı bazında yüzde ağırlıklar.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PAKETİN FİZİKSEL HAZIRLANMASI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•  Paket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iki nüsha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hazırlanır: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orijinal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,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kopya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Her nüsha ayrı bir klasöre konur, ikisi tek bir paket içinde teslim edilir. Klasörsüz sunulan başvuru kabul edilmez. · •  Paketin üzerine “IPARD Programı Başvuru Paketi” ve “Kanatlı Eti Sektörü Kapsamında Proje Başvurusu” yazılır. · •  Başvuru formu, ekleri, iş planı ve teknik projeyi birbirinden ayıran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separatörler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her Ek'in arasına yerleştirilir. Separatörsüz paket kabul edilmez. · •  Bütün sayfalar (çizimler hariç) Başvuru Formu Bölüm 10'daki sıraya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numaralandırılır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İş planı ve teknik proje ayrıca 1'den başlayarak numaralandırılır. A9 ve A10 numaralandırılmaz.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 İmza atılmayan diğer tüm sayfalar paraflanır.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A9, A10, A11. · •  Paket, yatırımın yapılacağı ildeki TKDK İl Koordinatörlüğüne veya İl İrtibat Ofisine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 · •  İçinde Başvuru Formu, seçilen ve seçilmeyen teklifler, iş planı ve teknik proje bulunmayan paketler teslim alınmaz.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Sıralama kriterlerine göre tahmini puan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Rehberin 8.2 bölümündeki tabloya göre. Çağrı bütçesinin üzerinde başvuru gelirse TKDK ön sıralamaya göre inceleyeceği projeleri belirliyor; düşük puanlı projeler için ret yazısı bile yazılmıyor. </w:t>
      </w:r>
      <w:r>
        <w:rPr>
          <w:rFonts w:ascii="Calibri" w:hAnsi="Calibri"/>
          <w:b/>
          <w:i w:val="0"/>
          <w:color w:val="000000"/>
          <w:sz w:val="18"/>
        </w:rPr>
        <w:t>Başvuru tarihinden sonra kriteri sağlayacak değişiklik yapılamaz.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Kriter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Alınan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Azami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Toplam uygun harcama tutarı — broyler: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297.965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, 300.000 Avro'dan az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Organik tarım sertifikası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uygulama alanının sahibi (tapu başvuru sahibi adına)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alanı, IPARD III'te destek kapsamına alınan yeni illerde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Kocaeli bu listede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IPARD kapsamında imzalanmış sözleşme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kadın veya %40-59 ortopedik engellilik oranına sahip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sahibinin statüsü — gerçek kişi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yenilenebilir enerji üretimini içeriyor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yatırımda yenilenebilir enerji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kriter kademelidir: toplam uygun harcama 300.000 Avro'nun altına çekilirse 5, 250.000'in altına 10, 200.000'in altına 15 puan gelir. Hibe kapsamı bu kademeye girecek biçimde daraltılmıştır: uygun harcamaya yalnızca </w:t>
      </w:r>
      <w:r>
        <w:rPr>
          <w:rFonts w:ascii="Calibri" w:hAnsi="Calibri"/>
          <w:b/>
          <w:i w:val="0"/>
          <w:color w:val="000000"/>
          <w:sz w:val="18"/>
        </w:rPr>
        <w:t>Kümes A ve B blokları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girer, onlardan da sandviç panel çatı-cephe kaplaması ile otomatik transfer şalteri çıkarılmıştır. Uygun harcama </w:t>
      </w:r>
      <w:r>
        <w:rPr>
          <w:rFonts w:ascii="Calibri" w:hAnsi="Calibri"/>
          <w:b/>
          <w:i w:val="0"/>
          <w:color w:val="000000"/>
          <w:sz w:val="18"/>
        </w:rPr>
        <w:t>15.720.192,50 TL = 297.965 Avro</w:t>
      </w:r>
      <w:r>
        <w:rPr>
          <w:rFonts w:ascii="Calibri" w:hAnsi="Calibri"/>
          <w:b w:val="0"/>
          <w:i w:val="0"/>
          <w:color w:val="000000"/>
          <w:sz w:val="18"/>
        </w:rPr>
        <w:t xml:space="preserve">'dur; 300.000 Avro kademesinin altında kaldığından </w:t>
      </w:r>
      <w:r>
        <w:rPr>
          <w:rFonts w:ascii="Calibri" w:hAnsi="Calibri"/>
          <w:b/>
          <w:i w:val="0"/>
          <w:color w:val="000000"/>
          <w:sz w:val="18"/>
        </w:rPr>
        <w:t>5 puan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gelir. Eşiğe kalan pay 2.035 Avro'dur. Yatırımın geri kalanı — diğer 7 yapı, çıkarılan pozlar ve makine-ekipman alımı, toplam 9.440.938,30 TL (178.946 Avro) — yapılmaya devam eder; uygun olmayan harcama olarak proforma fatura ile beyan edilir ve öz kaynaktan karşılanır.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EŞİĞE KALAN PAY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Uygun harcama 297.965 Avro, eşik 300.000 Avro: arada 2.035 Avro (%0,7) pay vardır. TKDK, keşfi kendi birim fiyatlarıyla yeniden hesaplar; kur da başvuru tarihinde güncellenir. Bu iki etkiden biri tutarı yukarı taşırsa kademe kaybedilir ve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sonradan düzeltme yapılamaz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teslimden sonra kriteri sağlayacak değişiklik kabul edilmez. Pay bu yüzden geniş tutulmuştur.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 ÜST LİMİTİ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Broyler yatırımlarında uygun harcama üst limiti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375.000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'dur (19.784.437,50 TL). Uygun harcama 297.965 Avro olduğundan üst limit bu yatırımda bağlayıcı değildir; hibe, uygun harcamanın tamamı üzerinden hesaplanır.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TAKVİMİ BELİRLEYEN TARİH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çağrı kapanış (son başvuru teslim) tarihinden önce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olmak zorundadır. Sonra alınırsa başvuru uygun değerlendirilmez ve bu, eksik evrak sürecinde düzeltilemez. Diğer bütün evraklar bu tarihe göre planlanmalıdır.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Kaynak: IPARD III 12. Çağrı Başvuru Çağrı Rehberi (2026 - V12.0), Bölüm 6 ve 7 ile 101.3 Uygun Harcamalar Listesi (30.06.2026). Ayrıntılı belge açıklamaları için TKDK'nın “Başvuru Paketi İçeriği” kitapçığına da bakılmalıdır.</w:t>
        <w:br/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