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MALİYETLERİ GEREKÇELENDİRME TABLOSU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2"/>
        </w:rPr>
        <w:t>BAŞVURU FORMU EKİ A6</w:t>
      </w:r>
    </w:p>
    <w:p>
      <w:pPr>
        <w:spacing w:after="80"/>
      </w:pP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Adı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MUSAB EDER ÇİFTLİĞİ KANATLI (ETLİK PİLİÇ) KÜMESİ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Adresi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KOCAELİ İLİ KARAMÜRSEL İLÇESİ İNEBEYLİ MAHALLESİ ADA:138 PARSEL:17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Her harcama kaleminin yatırımın hangi ihtiyacını karşıladığı, kapasiteyle ilişkisi ve miktarının nasıl belirlendiği açıklanmıştır. Tablo başvuru sahibince imzalanır.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Harcama alanı / kalem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Tutar (TL)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Gerekçe — neden gerekli, miktarı nasıl belirlendi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betonarme temel, çelik karkas üstyapı (hibe kapsamı)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15.753.004,18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harcama.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Yatırımın çekirdeği. Her blok 14,00 x 79,00 = 1.106 m², toplam 2.212 m² kapalı alan; iç kullanım alanı blok başına 1.060,42 m². Yerleşim yoğunluğu 16,97 adet/m² ile dönem kapasitesi 36.000 adet olup, IPARD'ın broyler için aradığı 15.000–100.000 adet aralığındadır. Metrajlar mimari ve betonarme projelerden ölçü esaslı çıkarılmış, ağırlıkla fiyatlanan imalatlar için ayrı ağırlık cetveli düzenlenmiştir.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sandviç panel çatı-cephe kaplaması, otomatik transfer şalteri (hibe dışı)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3.366.009,04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Bu imalatlar yapılmaya devam eder, bedeli başvuru sahibince karşılanır. Kaplama miktarı mimari projeden ölçü esaslı çıkarılmış, şalter elektrik projesi yükleme cetvelinden belirlenmiştir; blok başına birer adettir.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çukuru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973.117,09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Çevre mevzuatı ve IPARD çevre standartları gereği zorunludur. 11,50 x 10,00 m aks açıklığı, 2,70 m iç yükseklik; iki bloğun bir üretim dönemi gübresini sızdırmaz biçimde depolayacak hacimde boyutlandırılmıştır.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250.325,29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Veteriner hizmetleri mevzuatı gereği zorunludur. Sızdırmaz betonarme, 6,00 x 3,00 m; kapasiteye bağlı günlük ölüm oranı esas alınarak boyutlandırılmıştır.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81.237,96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Servis bölümlerinin evsel atık suyu için sızdırmaz betonarme foseptik; kanalizasyon şebekesi bulunmadığından zorunludur.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Yem silosu betonarme kaideleri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72.659,08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İki adet 18 tonluk galvaniz yem silosunun oturacağı betonarme kaideler; silo yükü ve devrilme momenti için 3,00 x 3,00 m.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185.657,72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Kesintisiz içme suyu için betonarme depo. Kapasitenin en az bir günlük su ihtiyacını karşılayacak hacim; hijyen ve biyogüvenlik açısından zorunludur.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Çevre düzenlemesi ve saha altyapısı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527.503,62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Parsel çevresi tel örgü çit biyogüvenlik gereği zorunludur. Tesis içi yol, temiz su ve pissu hatları, saha aydınlatması ve yapılar arası enerji hatları işletmenin çalışabilmesi için gereklidir.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ısıtma sistemi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710.000,00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Rehber kanatlı eti yatırımlarında kümes ısıtma sistemini zorunlu makine-ekipman sayar. Katı yakıtlı merkezi sistem sıcak hava üreteci, her blok için bir adet; kapasite kümesin iletim, havalandırma ve ön ısıtma yüklerinden hesaplanmıştır.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ve ekipman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2.885.847,21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Yemleme, sulama, tünel havalandırma, serinletme pedi, silo ve kümes kontrol sistemleri. Adet ve uzunluklar kümes ölçüsüne ve kapasiteye göre belirlenmiş; tedarikçi teklifiyle doğrulanmıştır. Otomasyon olmadan hayvan refahı ve verim hedefleri karşılanamaz.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 (KDV hariç)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25.215.904,14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Fiyatların makullüğü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Yapım işleri birim fiyatları, Çevre, Şehircilik ve İklim Değişikliği Bakanlığı'nın </w:t>
      </w:r>
      <w:r>
        <w:rPr>
          <w:rFonts w:ascii="Calibri" w:hAnsi="Calibri"/>
          <w:b/>
          <w:i w:val="0"/>
          <w:color w:val="000000"/>
          <w:sz w:val="18"/>
        </w:rPr>
        <w:t>2026 yılı birim fiyat kitabından</w:t>
      </w:r>
      <w:r>
        <w:rPr>
          <w:rFonts w:ascii="Calibri" w:hAnsi="Calibri"/>
          <w:b w:val="0"/>
          <w:i w:val="0"/>
          <w:color w:val="000000"/>
          <w:sz w:val="18"/>
        </w:rPr>
        <w:t xml:space="preserve">, elektrik kalemleri </w:t>
      </w:r>
      <w:r>
        <w:rPr>
          <w:rFonts w:ascii="Calibri" w:hAnsi="Calibri"/>
          <w:b/>
          <w:i w:val="0"/>
          <w:color w:val="000000"/>
          <w:sz w:val="18"/>
        </w:rPr>
        <w:t>2026 Haziran elektrik rayiç listesinden</w:t>
      </w:r>
      <w:r>
        <w:rPr>
          <w:rFonts w:ascii="Calibri" w:hAnsi="Calibri"/>
          <w:b w:val="0"/>
          <w:i w:val="0"/>
          <w:color w:val="000000"/>
          <w:sz w:val="18"/>
        </w:rPr>
        <w:t xml:space="preserve">, karşılığı bulunmayan kalemler ise </w:t>
      </w:r>
      <w:r>
        <w:rPr>
          <w:rFonts w:ascii="Calibri" w:hAnsi="Calibri"/>
          <w:b/>
          <w:i w:val="0"/>
          <w:color w:val="000000"/>
          <w:sz w:val="18"/>
        </w:rPr>
        <w:t>TKDK 17.02.2026 Özel Poz Tablosundan</w:t>
      </w:r>
      <w:r>
        <w:rPr>
          <w:rFonts w:ascii="Calibri" w:hAnsi="Calibri"/>
          <w:b w:val="0"/>
          <w:i w:val="0"/>
          <w:color w:val="000000"/>
          <w:sz w:val="18"/>
        </w:rPr>
        <w:t xml:space="preserve"> gelmektedir. Keşifte özel poz bulunmamaktadır.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Böylece her kalem, kamu kurumlarınca yayımlanmış bir birim fiyat kitabına dayanmaktadır; fiyatlar serbest piyasa şartlarında </w:t>
      </w:r>
      <w:r>
        <w:rPr>
          <w:rFonts w:ascii="Calibri" w:hAnsi="Calibri"/>
          <w:b/>
          <w:i w:val="0"/>
          <w:color w:val="000000"/>
          <w:sz w:val="18"/>
        </w:rPr>
        <w:t>makul ve kıyaslanabilirdir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3. Yapım işleri teklifinde her poz fiyatının ÇŞB/TKDK birim fiyatının </w:t>
      </w:r>
      <w:r>
        <w:rPr>
          <w:rFonts w:ascii="Calibri" w:hAnsi="Calibri"/>
          <w:b/>
          <w:i w:val="0"/>
          <w:color w:val="000000"/>
          <w:sz w:val="18"/>
        </w:rPr>
        <w:t>%85'ini aşmaması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şartı teklif davet mektubunda belirtilmiştir.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4. Makine-ekipman kalemleri için üç ayrı tedarikçiden teklif alınacak ve ekonomik yönden en avantajlı teklif, değerlendirme tutanağıyla gerekçelendirilerek seçilecektir.</w:t>
      </w:r>
    </w:p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21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 — adı, soyadı, imza</w:t>
            </w:r>
          </w:p>
        </w:tc>
        <w:tc>
          <w:tcPr>
            <w:tcW w:type="dxa" w:w="5216"/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