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ALINACAK HARCAMALAR</w:t>
      </w:r>
    </w:p>
    <w:p>
      <w:pPr>
        <w:jc w:val="center"/>
      </w:pPr>
      <w:r>
        <w:rPr>
          <w:rFonts w:ascii="Calibri" w:hAnsi="Calibri"/>
          <w:b/>
          <w:i w:val="0"/>
          <w:color w:val="000000"/>
          <w:sz w:val="22"/>
        </w:rPr>
        <w:t>UYGUN OLMAYAN HARCAMALARIN BEYANI</w:t>
      </w:r>
    </w:p>
    <w:p>
      <w:pPr>
        <w:spacing w:after="80"/>
      </w:pPr>
    </w:p>
    <w:p>
      <w:pPr>
        <w:spacing w:before="0" w:after="20"/>
      </w:pPr>
      <w:r>
        <w:rPr>
          <w:rFonts w:ascii="Calibri" w:hAnsi="Calibri"/>
          <w:b/>
          <w:i w:val="0"/>
          <w:color w:val="000000"/>
          <w:sz w:val="17"/>
        </w:rPr>
        <w:t>Yatırımın Adı</w:t>
      </w:r>
      <w:r>
        <w:rPr>
          <w:rFonts w:ascii="Calibri" w:hAnsi="Calibri"/>
          <w:b w:val="0"/>
          <w:i w:val="0"/>
          <w:color w:val="000000"/>
          <w:sz w:val="17"/>
        </w:rPr>
        <w:t xml:space="preserve">  :  </w:t>
      </w:r>
      <w:r>
        <w:rPr>
          <w:rFonts w:ascii="Calibri" w:hAnsi="Calibri"/>
          <w:b w:val="0"/>
          <w:i w:val="0"/>
          <w:color w:val="000000"/>
          <w:sz w:val="17"/>
        </w:rPr>
        <w:t>MUSAB EDER ÇİFTLİĞİ KANATLI (ETLİK PİLİÇ) KÜMESİ</w:t>
      </w:r>
    </w:p>
    <w:p>
      <w:pPr>
        <w:spacing w:before="0" w:after="20"/>
      </w:pPr>
      <w:r>
        <w:rPr>
          <w:rFonts w:ascii="Calibri" w:hAnsi="Calibri"/>
          <w:b/>
          <w:i w:val="0"/>
          <w:color w:val="000000"/>
          <w:sz w:val="17"/>
        </w:rPr>
        <w:t>Yatırımın Adresi</w:t>
      </w:r>
      <w:r>
        <w:rPr>
          <w:rFonts w:ascii="Calibri" w:hAnsi="Calibri"/>
          <w:b w:val="0"/>
          <w:i w:val="0"/>
          <w:color w:val="000000"/>
          <w:sz w:val="17"/>
        </w:rPr>
        <w:t xml:space="preserve">  :  </w:t>
      </w:r>
      <w:r>
        <w:rPr>
          <w:rFonts w:ascii="Calibri" w:hAnsi="Calibri"/>
          <w:b w:val="0"/>
          <w:i w:val="0"/>
          <w:color w:val="000000"/>
          <w:sz w:val="17"/>
        </w:rPr>
        <w:t>İnebeyli Mahallesi, 138 ada 17 parsel, Karamürsel / KOCAELİ</w:t>
      </w:r>
    </w:p>
    <w:p>
      <w:pPr>
        <w:spacing w:after="80"/>
      </w:pPr>
    </w:p>
    <w:p>
      <w:pPr>
        <w:spacing w:after="60"/>
        <w:jc w:val="both"/>
      </w:pPr>
      <w:r>
        <w:rPr>
          <w:rFonts w:ascii="Calibri" w:hAnsi="Calibri"/>
          <w:b w:val="0"/>
          <w:i w:val="0"/>
          <w:color w:val="000000"/>
          <w:sz w:val="18"/>
        </w:rPr>
        <w:t>Hibe kapsamı, puanlama kriteri 1 gereği Kümes A ve B bloklarının yapım işleriyle sınırlandırılmıştır. Yatırımın geri kalanı yapılmaya devam eder; uygun olmayan harcama olduğu için teklif alma usulüne tabi değildir, tutarı proforma fatura ile beyan edilir ve tamamı öz kaynaktan karşılanır.</w:t>
      </w:r>
    </w:p>
    <w:p>
      <w:pPr>
        <w:spacing w:after="120"/>
      </w:pP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7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Belge</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Harcama</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Proformayı düzenleyecek</w:t>
            </w:r>
          </w:p>
        </w:tc>
        <w:tc>
          <w:tcPr>
            <w:tcW w:type="dxa" w:w="385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Kapsam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c>
          <w:tcPr>
            <w:tcW w:type="dxa" w:w="85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Avro</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Hibe dışı yapım işleri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blokları dışındaki yedi yapı (gübre çukuru, ölü atma çukuru, foseptik, yem silosu kaideleri, su deposu, yağmur suyu deposu, çevre düzenlemesi ve saha altyapısı) ile bu iki bloktan hibe kapsamı dışına çıkarılan sandviç panel çatı-cephe kaplaması ve otomatik transfer şalteri.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111.206</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makine ve ekipmanı</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Tedarikçi — alınacak</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Yemleme, sulama, havalandırma, serinletme, kontrol panosu, silo ve işçilik-nakliye. Miktarlar kümes mekanik projesinden alınmıştır.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2.885.847,21</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54.699</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ısıtma sistemi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YAĞMUR TEKNİK ISI VE ENDÜSTRİ MAKİNALARI SANAYİ TİCARET LİMİTED ŞİRKETİ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yakıtlı merkezi sistem sıcak hava üreteci, iki kümes için 2 adet.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710.000,00</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13.458</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 uygun olmayan harcama</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9.462.899,96</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179.363</w:t>
            </w:r>
          </w:p>
        </w:tc>
      </w:tr>
    </w:tbl>
    <w:p>
      <w:pPr>
        <w:spacing w:after="80"/>
      </w:pPr>
    </w:p>
    <w:p>
      <w:pPr>
        <w:spacing w:after="160"/>
      </w:pPr>
    </w:p>
    <w:p>
      <w:pPr>
        <w:spacing w:before="120" w:after="60"/>
      </w:pPr>
      <w:r>
        <w:rPr>
          <w:rFonts w:ascii="Calibri" w:hAnsi="Calibri"/>
          <w:b/>
          <w:i w:val="0"/>
          <w:color w:val="000000"/>
          <w:sz w:val="20"/>
        </w:rPr>
        <w:t>Her proforma için yapılacaklar</w:t>
      </w:r>
    </w:p>
    <w:p>
      <w:pPr>
        <w:spacing w:after="60"/>
        <w:jc w:val="both"/>
      </w:pPr>
      <w:r>
        <w:rPr>
          <w:rFonts w:ascii="Calibri" w:hAnsi="Calibri"/>
          <w:b/>
          <w:i w:val="0"/>
          <w:color w:val="000000"/>
          <w:sz w:val="18"/>
        </w:rPr>
        <w:t>36 · Hibe dışı yapım işleri</w:t>
      </w:r>
      <w:r>
        <w:rPr>
          <w:rFonts w:ascii="Calibri" w:hAnsi="Calibri"/>
          <w:b w:val="0"/>
          <w:i w:val="0"/>
          <w:color w:val="000000"/>
          <w:sz w:val="18"/>
        </w:rPr>
        <w:t xml:space="preserve"> — MAHMUT TARI MAFREN MÜHENDİSLİK DANIŞMANLIK HİZMETLERİ</w:t>
      </w:r>
    </w:p>
    <w:p>
      <w:pPr>
        <w:spacing w:after="60"/>
        <w:jc w:val="both"/>
      </w:pPr>
      <w:r>
        <w:rPr>
          <w:rFonts w:ascii="Calibri" w:hAnsi="Calibri"/>
          <w:b w:val="0"/>
          <w:i w:val="0"/>
          <w:color w:val="000000"/>
          <w:sz w:val="18"/>
        </w:rPr>
        <w:t>Yatırımın hibe dışı kalan bütün inşaat işleri TEK proformada toplanmıştır. Yüklenici kendi künyesiyle düzenler; poz numaraları, miktarlar ve birim fiyatlar keşif özetleriyle birebir aynıdır.</w:t>
      </w:r>
    </w:p>
    <w:p>
      <w:pPr>
        <w:spacing w:after="40"/>
      </w:pPr>
    </w:p>
    <w:p>
      <w:pPr>
        <w:spacing w:after="60"/>
        <w:jc w:val="both"/>
      </w:pPr>
      <w:r>
        <w:rPr>
          <w:rFonts w:ascii="Calibri" w:hAnsi="Calibri"/>
          <w:b/>
          <w:i w:val="0"/>
          <w:color w:val="000000"/>
          <w:sz w:val="18"/>
        </w:rPr>
        <w:t>37 · Kümes makine ve ekipmanı</w:t>
      </w:r>
      <w:r>
        <w:rPr>
          <w:rFonts w:ascii="Calibri" w:hAnsi="Calibri"/>
          <w:b w:val="0"/>
          <w:i w:val="0"/>
          <w:color w:val="000000"/>
          <w:sz w:val="18"/>
        </w:rPr>
        <w:t xml:space="preserve"> — Tedarikçi — alınacak</w:t>
      </w:r>
    </w:p>
    <w:p>
      <w:pPr>
        <w:spacing w:after="60"/>
        <w:jc w:val="both"/>
      </w:pPr>
      <w:r>
        <w:rPr>
          <w:rFonts w:ascii="Calibri" w:hAnsi="Calibri"/>
          <w:b w:val="0"/>
          <w:i w:val="0"/>
          <w:color w:val="000000"/>
          <w:sz w:val="18"/>
        </w:rPr>
        <w:t>Proforma 37 numaralı FİYATSIZ İSTEK LİSTESİ ile istenecektir; liste kümes mekanik ekipmanı ile ısıtma sistemini birlikte taşır. Tablodaki tutar, proforma gelene kadar geçerli olan birim fiyat tahminidir; proforma alındığında yerine yazılır.</w:t>
      </w:r>
    </w:p>
    <w:p>
      <w:pPr>
        <w:spacing w:after="40"/>
      </w:pPr>
    </w:p>
    <w:p>
      <w:pPr>
        <w:spacing w:after="60"/>
        <w:jc w:val="both"/>
      </w:pPr>
      <w:r>
        <w:rPr>
          <w:rFonts w:ascii="Calibri" w:hAnsi="Calibri"/>
          <w:b/>
          <w:i w:val="0"/>
          <w:color w:val="000000"/>
          <w:sz w:val="18"/>
        </w:rPr>
        <w:t>38 · Kümes ısıtma sistemi</w:t>
      </w:r>
      <w:r>
        <w:rPr>
          <w:rFonts w:ascii="Calibri" w:hAnsi="Calibri"/>
          <w:b w:val="0"/>
          <w:i w:val="0"/>
          <w:color w:val="000000"/>
          <w:sz w:val="18"/>
        </w:rPr>
        <w:t xml:space="preserve"> — YAĞMUR TEKNİK ISI VE ENDÜSTRİ MAKİNALARI SANAYİ TİCARET LİMİTED ŞİRKETİ</w:t>
      </w:r>
    </w:p>
    <w:p>
      <w:pPr>
        <w:spacing w:after="60"/>
        <w:jc w:val="both"/>
      </w:pPr>
      <w:r>
        <w:rPr>
          <w:rFonts w:ascii="Calibri" w:hAnsi="Calibri"/>
          <w:b w:val="0"/>
          <w:i w:val="0"/>
          <w:color w:val="000000"/>
          <w:sz w:val="18"/>
        </w:rPr>
        <w:t>Tedarikçi kendi antetli kâğıdında düzenlemelidir; 4992 numaralı teklif esas alınır.</w:t>
      </w:r>
    </w:p>
    <w:p>
      <w:pPr>
        <w:spacing w:after="40"/>
      </w:pPr>
    </w:p>
    <w:p>
      <w:pPr>
        <w:spacing w:after="80"/>
      </w:pPr>
    </w:p>
    <w:tbl>
      <w:tblPr>
        <w:tblW w:type="auto" w:w="0"/>
        <w:jc w:val="center"/>
        <w:tblLayout w:type="fixed"/>
        <w:tblLook w:firstColumn="1" w:firstRow="1" w:lastColumn="0" w:lastRow="0" w:noHBand="0" w:noVBand="1" w:val="04A0"/>
      </w:tblPr>
      <w:tblGrid>
        <w:gridCol w:w="10432"/>
      </w:tblGrid>
      <w:tr>
        <w:tc>
          <w:tcPr>
            <w:tcW w:type="dxa" w:w="10431"/>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PROFORMAYI SATICI DÜZENLER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fatura satıcının kendi belgesidir. Yapım işleri proformasını yüklenici kendi künyesiyle düzenler; makine-ekipman ve ısıtma proformaları ise tedarikçilerin kendi antetli kâğıdında, kaşe ve imzasıyla düzenlenmelidir.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Paketteki 38 numaralı nüsha tedarikçinin verdiği teklifin proforma düzenine aktarılmış hâlidir; tedarikçi kendi nüshasını verdiğinde onunla değiştirilir. Makine-ekipman proforması henüz alınmamıştır: 37 numaralı fiyatsız istek listesiyle istenecektir.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tarihi çağrı kapanışından önce olmalı ve üzerindeki geçerlilik süresi başvurunun değerlendirme dönemini kapsamalıdır.</w:t>
            </w:r>
          </w:p>
        </w:tc>
      </w:tr>
    </w:tbl>
    <w:p>
      <w:pPr>
        <w:spacing w:after="80"/>
      </w:pPr>
    </w:p>
    <w:p>
      <w:pPr>
        <w:spacing w:after="120"/>
      </w:pPr>
    </w:p>
    <w:p>
      <w:pPr>
        <w:spacing w:after="60"/>
        <w:jc w:val="both"/>
      </w:pPr>
      <w:r>
        <w:rPr>
          <w:rFonts w:ascii="Calibri" w:hAnsi="Calibri"/>
          <w:b w:val="0"/>
          <w:i w:val="0"/>
          <w:color w:val="000000"/>
          <w:sz w:val="15"/>
        </w:rPr>
        <w:t>KDV, IPARD'da hiçbir harcama alanında uygun harcama değildir; yukarıdaki tutarlar KDV hariçtir ve A3.4 tablosuna bu hâliyle yazılır.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