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0000"/>
          <w:sz w:val="24"/>
        </w:rPr>
        <w:t>PROFORMA ALINACAK HARCAMALAR</w:t>
      </w:r>
    </w:p>
    <w:p>
      <w:pPr>
        <w:jc w:val="center"/>
      </w:pPr>
      <w:r>
        <w:rPr>
          <w:rFonts w:ascii="Calibri" w:hAnsi="Calibri"/>
          <w:b/>
          <w:i w:val="0"/>
          <w:color w:val="000000"/>
          <w:sz w:val="22"/>
        </w:rPr>
        <w:t>UYGUN OLMAYAN HARCAMALARIN BEYANI</w:t>
      </w:r>
    </w:p>
    <w:p>
      <w:pPr>
        <w:spacing w:after="80"/>
      </w:pPr>
    </w:p>
    <w:p>
      <w:pPr>
        <w:spacing w:before="0" w:after="20"/>
      </w:pPr>
      <w:r>
        <w:rPr>
          <w:rFonts w:ascii="Calibri" w:hAnsi="Calibri"/>
          <w:b/>
          <w:i w:val="0"/>
          <w:color w:val="000000"/>
          <w:sz w:val="17"/>
        </w:rPr>
        <w:t>Yatırımın Adı</w:t>
      </w:r>
      <w:r>
        <w:rPr>
          <w:rFonts w:ascii="Calibri" w:hAnsi="Calibri"/>
          <w:b w:val="0"/>
          <w:i w:val="0"/>
          <w:color w:val="000000"/>
          <w:sz w:val="17"/>
        </w:rPr>
        <w:t xml:space="preserve">  :  </w:t>
      </w:r>
      <w:r>
        <w:rPr>
          <w:rFonts w:ascii="Calibri" w:hAnsi="Calibri"/>
          <w:b w:val="0"/>
          <w:i w:val="0"/>
          <w:color w:val="000000"/>
          <w:sz w:val="17"/>
        </w:rPr>
        <w:t>MUSAB EDER ÇİFTLİĞİ KANATLI (ETLİK PİLİÇ) KÜMESİ</w:t>
      </w:r>
    </w:p>
    <w:p>
      <w:pPr>
        <w:spacing w:before="0" w:after="20"/>
      </w:pPr>
      <w:r>
        <w:rPr>
          <w:rFonts w:ascii="Calibri" w:hAnsi="Calibri"/>
          <w:b/>
          <w:i w:val="0"/>
          <w:color w:val="000000"/>
          <w:sz w:val="17"/>
        </w:rPr>
        <w:t>Yatırımın Adresi</w:t>
      </w:r>
      <w:r>
        <w:rPr>
          <w:rFonts w:ascii="Calibri" w:hAnsi="Calibri"/>
          <w:b w:val="0"/>
          <w:i w:val="0"/>
          <w:color w:val="000000"/>
          <w:sz w:val="17"/>
        </w:rPr>
        <w:t xml:space="preserve">  :  </w:t>
      </w:r>
      <w:r>
        <w:rPr>
          <w:rFonts w:ascii="Calibri" w:hAnsi="Calibri"/>
          <w:b w:val="0"/>
          <w:i w:val="0"/>
          <w:color w:val="000000"/>
          <w:sz w:val="17"/>
        </w:rPr>
        <w:t>İnebeyli Mahallesi, 138 ada 17 parsel, Karamürsel / KOCAELİ</w:t>
      </w:r>
    </w:p>
    <w:p>
      <w:pPr>
        <w:spacing w:after="80"/>
      </w:pPr>
    </w:p>
    <w:p>
      <w:pPr>
        <w:spacing w:after="60"/>
        <w:jc w:val="both"/>
      </w:pPr>
      <w:r>
        <w:rPr>
          <w:rFonts w:ascii="Calibri" w:hAnsi="Calibri"/>
          <w:b w:val="0"/>
          <w:i w:val="0"/>
          <w:color w:val="000000"/>
          <w:sz w:val="18"/>
        </w:rPr>
        <w:t>Hibe kapsamı, puanlama kriteri 1 gereği Kümes A ve B bloklarının yapım işleriyle sınırlandırılmıştır. Yatırımın geri kalanı yapılmaya devam eder; uygun olmayan harcama olduğu için teklif alma usulüne tabi değildir, tutarı proforma fatura ile beyan edilir ve tamamı öz kaynaktan karşılanır.</w:t>
      </w:r>
    </w:p>
    <w:p>
      <w:pPr>
        <w:spacing w:after="120"/>
      </w:pPr>
    </w:p>
    <w:tbl>
      <w:tblPr>
        <w:tblW w:type="auto" w:w="0"/>
        <w:jc w:val="center"/>
        <w:tblLayout w:type="fixed"/>
        <w:tblLook w:firstColumn="1" w:firstRow="1" w:lastColumn="0" w:lastRow="0" w:noHBand="0" w:noVBand="1" w:val="04A0"/>
      </w:tblPr>
      <w:tblGrid>
        <w:gridCol w:w="1739"/>
        <w:gridCol w:w="1739"/>
        <w:gridCol w:w="1739"/>
        <w:gridCol w:w="1739"/>
        <w:gridCol w:w="1739"/>
        <w:gridCol w:w="1739"/>
      </w:tblGrid>
      <w:tr>
        <w:tc>
          <w:tcPr>
            <w:tcW w:type="dxa" w:w="737"/>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Belge</w:t>
            </w:r>
          </w:p>
        </w:tc>
        <w:tc>
          <w:tcPr>
            <w:tcW w:type="dxa" w:w="181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Harcama</w:t>
            </w:r>
          </w:p>
        </w:tc>
        <w:tc>
          <w:tcPr>
            <w:tcW w:type="dxa" w:w="1928"/>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Proformayı düzenleyecek</w:t>
            </w:r>
          </w:p>
        </w:tc>
        <w:tc>
          <w:tcPr>
            <w:tcW w:type="dxa" w:w="3855"/>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Kapsam</w:t>
            </w:r>
          </w:p>
        </w:tc>
        <w:tc>
          <w:tcPr>
            <w:tcW w:type="dxa" w:w="1247"/>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Tutar (TL)</w:t>
            </w:r>
          </w:p>
        </w:tc>
        <w:tc>
          <w:tcPr>
            <w:tcW w:type="dxa" w:w="850"/>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Avro</w:t>
            </w:r>
          </w:p>
        </w:tc>
      </w:tr>
      <w:tr>
        <w:tc>
          <w:tcPr>
            <w:tcW w:type="dxa" w:w="737"/>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36</w:t>
            </w:r>
          </w:p>
        </w:tc>
        <w:tc>
          <w:tcPr>
            <w:tcW w:type="dxa" w:w="181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Hibe dışı yapım işleri</w:t>
            </w:r>
          </w:p>
        </w:tc>
        <w:tc>
          <w:tcPr>
            <w:tcW w:type="dxa" w:w="192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 TARI MAFREN MÜHENDİSLİK DANIŞMANLIK HİZMETLERİ</w:t>
            </w:r>
          </w:p>
        </w:tc>
        <w:tc>
          <w:tcPr>
            <w:tcW w:type="dxa" w:w="3855"/>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Kümes A ve B blokları dışındaki yedi yapı (gübre çukuru, ölü atma çukuru, foseptik, yem silosu kaideleri, su deposu, yağmur suyu deposu, çevre düzenlemesi ve saha altyapısı) ile bu iki bloktan hibe kapsamı dışına çıkarılan sandviç panel çatı-cephe kaplaması ve otomatik transfer şalteri.</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5.867.052,75</w:t>
            </w:r>
          </w:p>
        </w:tc>
        <w:tc>
          <w:tcPr>
            <w:tcW w:type="dxa" w:w="85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111.206</w:t>
            </w:r>
          </w:p>
        </w:tc>
      </w:tr>
      <w:tr>
        <w:tc>
          <w:tcPr>
            <w:tcW w:type="dxa" w:w="737"/>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38</w:t>
            </w:r>
          </w:p>
        </w:tc>
        <w:tc>
          <w:tcPr>
            <w:tcW w:type="dxa" w:w="181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Kümes makine ve ekipmanı (ısıtma sistemi dâhil)</w:t>
            </w:r>
          </w:p>
        </w:tc>
        <w:tc>
          <w:tcPr>
            <w:tcW w:type="dxa" w:w="192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HIZAL KÜMES EKİPMANLARI KİMYEVİ MADDELER SANAYİ VE DIŞ TİCARET LİMİTED ŞİRKETİ</w:t>
            </w:r>
          </w:p>
        </w:tc>
        <w:tc>
          <w:tcPr>
            <w:tcW w:type="dxa" w:w="3855"/>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Yemleme, sulama, havalandırma, serinletme, klape, silo, aydınlatma, ISITMA SİSTEMİ, kümes otomasyonu ile işçilik ve nakliye — on kalem, iki kümes için.</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3.784.288,46</w:t>
            </w:r>
          </w:p>
        </w:tc>
        <w:tc>
          <w:tcPr>
            <w:tcW w:type="dxa" w:w="85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71.729</w:t>
            </w:r>
          </w:p>
        </w:tc>
      </w:tr>
      <w:tr>
        <w:tc>
          <w:tcPr>
            <w:tcW w:type="dxa" w:w="7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TOPLAM — uygun olmayan harcama</w:t>
            </w:r>
          </w:p>
        </w:tc>
        <w:tc>
          <w:tcPr>
            <w:tcW w:type="dxa" w:w="181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928"/>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3855"/>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9.651.341,21</w:t>
            </w:r>
          </w:p>
        </w:tc>
        <w:tc>
          <w:tcPr>
            <w:tcW w:type="dxa" w:w="85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182.934</w:t>
            </w:r>
          </w:p>
        </w:tc>
      </w:tr>
    </w:tbl>
    <w:p>
      <w:pPr>
        <w:spacing w:after="80"/>
      </w:pPr>
    </w:p>
    <w:p>
      <w:pPr>
        <w:spacing w:after="160"/>
      </w:pPr>
    </w:p>
    <w:p>
      <w:pPr>
        <w:spacing w:before="120" w:after="60"/>
      </w:pPr>
      <w:r>
        <w:rPr>
          <w:rFonts w:ascii="Calibri" w:hAnsi="Calibri"/>
          <w:b/>
          <w:i w:val="0"/>
          <w:color w:val="000000"/>
          <w:sz w:val="20"/>
        </w:rPr>
        <w:t>Her proforma için yapılacaklar</w:t>
      </w:r>
    </w:p>
    <w:p>
      <w:pPr>
        <w:spacing w:after="60"/>
        <w:jc w:val="both"/>
      </w:pPr>
      <w:r>
        <w:rPr>
          <w:rFonts w:ascii="Calibri" w:hAnsi="Calibri"/>
          <w:b/>
          <w:i w:val="0"/>
          <w:color w:val="000000"/>
          <w:sz w:val="18"/>
        </w:rPr>
        <w:t>36 · Hibe dışı yapım işleri</w:t>
      </w:r>
      <w:r>
        <w:rPr>
          <w:rFonts w:ascii="Calibri" w:hAnsi="Calibri"/>
          <w:b w:val="0"/>
          <w:i w:val="0"/>
          <w:color w:val="000000"/>
          <w:sz w:val="18"/>
        </w:rPr>
        <w:t xml:space="preserve"> — MAHMUT TARI MAFREN MÜHENDİSLİK DANIŞMANLIK HİZMETLERİ</w:t>
      </w:r>
    </w:p>
    <w:p>
      <w:pPr>
        <w:spacing w:after="60"/>
        <w:jc w:val="both"/>
      </w:pPr>
      <w:r>
        <w:rPr>
          <w:rFonts w:ascii="Calibri" w:hAnsi="Calibri"/>
          <w:b w:val="0"/>
          <w:i w:val="0"/>
          <w:color w:val="000000"/>
          <w:sz w:val="18"/>
        </w:rPr>
        <w:t>Yatırımın hibe dışı kalan bütün inşaat işleri TEK proformada toplanmıştır. Yüklenici kendi künyesiyle düzenler; poz numaraları, miktarlar ve birim fiyatlar keşif özetleriyle birebir aynıdır.</w:t>
      </w:r>
    </w:p>
    <w:p>
      <w:pPr>
        <w:spacing w:after="40"/>
      </w:pPr>
    </w:p>
    <w:p>
      <w:pPr>
        <w:spacing w:after="60"/>
        <w:jc w:val="both"/>
      </w:pPr>
      <w:r>
        <w:rPr>
          <w:rFonts w:ascii="Calibri" w:hAnsi="Calibri"/>
          <w:b/>
          <w:i w:val="0"/>
          <w:color w:val="000000"/>
          <w:sz w:val="18"/>
        </w:rPr>
        <w:t>38 · Kümes makine ve ekipmanı (ısıtma sistemi dâhil)</w:t>
      </w:r>
      <w:r>
        <w:rPr>
          <w:rFonts w:ascii="Calibri" w:hAnsi="Calibri"/>
          <w:b w:val="0"/>
          <w:i w:val="0"/>
          <w:color w:val="000000"/>
          <w:sz w:val="18"/>
        </w:rPr>
        <w:t xml:space="preserve"> — HIZAL KÜMES EKİPMANLARI KİMYEVİ MADDELER SANAYİ VE DIŞ TİCARET LİMİTED ŞİRKETİ</w:t>
      </w:r>
    </w:p>
    <w:p>
      <w:pPr>
        <w:spacing w:after="60"/>
        <w:jc w:val="both"/>
      </w:pPr>
      <w:r>
        <w:rPr>
          <w:rFonts w:ascii="Calibri" w:hAnsi="Calibri"/>
          <w:b w:val="0"/>
          <w:i w:val="0"/>
          <w:color w:val="000000"/>
          <w:sz w:val="18"/>
        </w:rPr>
        <w:t>PROFORMA ALINMIŞTIR (belge 38): tedarikçinin 29.08.2026 tarih ve 25-001-mt numaralı proforma faturası. Uygun olmayan makine-ekipman gideri yalnız bu proformaya göredir; ayrı ısıtma lotu ve ona ait teklif başvuru sahibinin kararıyla iptal edilmiştir.</w:t>
      </w:r>
    </w:p>
    <w:p>
      <w:pPr>
        <w:spacing w:after="40"/>
      </w:pPr>
    </w:p>
    <w:p>
      <w:pPr>
        <w:spacing w:after="80"/>
      </w:pPr>
    </w:p>
    <w:tbl>
      <w:tblPr>
        <w:tblW w:type="auto" w:w="0"/>
        <w:jc w:val="center"/>
        <w:tblLayout w:type="fixed"/>
        <w:tblLook w:firstColumn="1" w:firstRow="1" w:lastColumn="0" w:lastRow="0" w:noHBand="0" w:noVBand="1" w:val="04A0"/>
      </w:tblPr>
      <w:tblGrid>
        <w:gridCol w:w="10432"/>
      </w:tblGrid>
      <w:tr>
        <w:tc>
          <w:tcPr>
            <w:tcW w:type="dxa" w:w="10431"/>
            <w:tcBorders>
              <w:top w:val="single" w:sz="4" w:space="0" w:color="808080"/>
              <w:left w:val="single" w:sz="4" w:space="0" w:color="808080"/>
              <w:bottom w:val="single" w:sz="4" w:space="0" w:color="808080"/>
              <w:right w:val="single" w:sz="4" w:space="0" w:color="808080"/>
            </w:tcBorders>
            <w:shd w:val="clear" w:color="auto" w:fill="DCDCDC"/>
          </w:tcPr>
          <w:p>
            <w:pPr>
              <w:spacing w:before="20" w:after="20"/>
              <w:jc w:val="left"/>
            </w:pPr>
            <w:r>
              <w:rPr>
                <w:rFonts w:ascii="Calibri" w:hAnsi="Calibri"/>
                <w:b/>
                <w:i w:val="0"/>
                <w:color w:val="000000"/>
                <w:sz w:val="16"/>
              </w:rPr>
              <w:t>PROFORMAYI SATICI DÜZENLER</w:t>
            </w:r>
          </w:p>
        </w:tc>
      </w:tr>
      <w:tr>
        <w:tc>
          <w:tcPr>
            <w:tcW w:type="dxa" w:w="1043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Proforma fatura satıcının kendi belgesidir. Yapım işleri proformasını yüklenici kendi künyesiyle düzenler; makine-ekipman ve ısıtma proformaları ise tedarikçilerin kendi antetli kâğıdında, kaşe ve imzasıyla düzenlenmelidir.</w:t>
            </w:r>
          </w:p>
        </w:tc>
      </w:tr>
      <w:tr>
        <w:tc>
          <w:tcPr>
            <w:tcW w:type="dxa" w:w="1043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Paketteki 38 numaralı nüsha tedarikçinin verdiği teklifin proforma düzenine aktarılmış hâlidir; tedarikçi kendi nüshasını verdiğinde onunla değiştirilir. Makine-ekipman proforması henüz alınmamıştır: 37 numaralı fiyatsız istek listesiyle istenecektir.</w:t>
            </w:r>
          </w:p>
        </w:tc>
      </w:tr>
      <w:tr>
        <w:tc>
          <w:tcPr>
            <w:tcW w:type="dxa" w:w="1043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Proforma tarihi çağrı kapanışından önce olmalı ve üzerindeki geçerlilik süresi başvurunun değerlendirme dönemini kapsamalıdır.</w:t>
            </w:r>
          </w:p>
        </w:tc>
      </w:tr>
    </w:tbl>
    <w:p>
      <w:pPr>
        <w:spacing w:after="80"/>
      </w:pPr>
    </w:p>
    <w:p>
      <w:pPr>
        <w:spacing w:after="120"/>
      </w:pPr>
    </w:p>
    <w:p>
      <w:pPr>
        <w:spacing w:after="60"/>
        <w:jc w:val="both"/>
      </w:pPr>
      <w:r>
        <w:rPr>
          <w:rFonts w:ascii="Calibri" w:hAnsi="Calibri"/>
          <w:b w:val="0"/>
          <w:i w:val="0"/>
          <w:color w:val="000000"/>
          <w:sz w:val="15"/>
        </w:rPr>
        <w:t>KDV, IPARD'da hiçbir harcama alanında uygun harcama değildir; yukarıdaki tutarlar KDV hariçtir ve A3.4 tablosuna bu hâliyle yazılır.</w:t>
      </w:r>
    </w:p>
    <w:sectPr w:rsidR="00FC693F" w:rsidRPr="0006063C" w:rsidSect="00034616">
      <w:footerReference w:type="default" r:id="rId9"/>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