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Unvanı</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2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13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 xml:space="preserve">……………………… T.C. kimlik numaralı Musab Eder, ……/……/………… tarihinde doğmuştur. Öğrenim durumu: ………………………………………… (……/……/………… tarihinde mezun). Yapılması planlanan yatırımı, mesleğiyle doğrudan bağlantılı olması sebebiyle tercih etmiştir. Başvuru sahibinin hâlihazırda faaliyette olan bir tarımsal işletmesi bulunmamaktadır; bu başvuru </w:t>
      </w:r>
      <w:r>
        <w:rPr>
          <w:rFonts w:ascii="Calibri" w:hAnsi="Calibri"/>
          <w:b/>
          <w:i w:val="0"/>
          <w:color w:val="000000"/>
          <w:sz w:val="18"/>
        </w:rPr>
        <w:t>yeni yatırım</w:t>
      </w:r>
      <w:r>
        <w:rPr>
          <w:rFonts w:ascii="Calibri" w:hAnsi="Calibri"/>
          <w:b w:val="0"/>
          <w:i w:val="0"/>
          <w:color w:val="000000"/>
          <w:sz w:val="18"/>
        </w:rPr>
        <w:t xml:space="preserve"> niteliğindedir.</w:t>
      </w:r>
    </w:p>
    <w:p>
      <w:pPr>
        <w:spacing w:after="60"/>
        <w:jc w:val="both"/>
      </w:pPr>
      <w:r>
        <w:rPr>
          <w:rFonts w:ascii="Calibri" w:hAnsi="Calibri"/>
          <w:b w:val="0"/>
          <w:i/>
          <w:color w:val="000000"/>
          <w:sz w:val="18"/>
        </w:rPr>
        <w:t>Yukarıdaki boşluklar nüfus cüzdanı ve öğrenim belgesinden doldurulacaktır.</w:t>
      </w:r>
    </w:p>
    <w:p>
      <w:pPr>
        <w:spacing w:after="60"/>
        <w:jc w:val="both"/>
      </w:pPr>
      <w:r>
        <w:rPr>
          <w:rFonts w:ascii="Calibri" w:hAnsi="Calibri"/>
          <w:b w:val="0"/>
          <w:i w:val="0"/>
          <w:color w:val="000000"/>
          <w:sz w:val="18"/>
        </w:rPr>
        <w:t>Yatırım yeri, başvuru sahibi adına kayıtlı Kocaeli İli Karamürsel İlçesi İnebeyli Mahallesi 138 ada 17 parselde bulunan 7.966,67 m² yüzölçümlü taşınmazdır. Yatırım için gerekli izin ve belgeler (ÇED kararı, yapı ruhsatı, kanatlı işletmesi kuruluş izni) temin edilmektedir.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Yatırımın konusu, Kocaeli İli Karamürsel İlçesi İnebeyli Mahallesi'nde, her biri 14,00 x 79,00 m (1.106,00 m²) ölçüsünde </w:t>
      </w:r>
      <w:r>
        <w:rPr>
          <w:rFonts w:ascii="Calibri" w:hAnsi="Calibri"/>
          <w:b/>
          <w:i w:val="0"/>
          <w:color w:val="000000"/>
          <w:sz w:val="18"/>
        </w:rPr>
        <w:t>2 adet etlik piliç (broyler) kümesi</w:t>
      </w:r>
      <w:r>
        <w:rPr>
          <w:rFonts w:ascii="Calibri" w:hAnsi="Calibri"/>
          <w:b w:val="0"/>
          <w:i w:val="0"/>
          <w:color w:val="000000"/>
          <w:sz w:val="18"/>
        </w:rPr>
        <w:t xml:space="preserve"> ile bunların müştemilatının yeni yapım olarak inşa edilmesi ve tam otomatik kümes ekipmanlarıyla donatılmasıdır.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 xml:space="preserve">Kümeslerin toplam kapalı alanı 2.212,00 m², iç kullanım alanı 2.120,84 m²'dir. Metrekarede 16.97 adet hayvan yoğunluğuyla dönem kapasitesi </w:t>
      </w:r>
      <w:r>
        <w:rPr>
          <w:rFonts w:ascii="Calibri" w:hAnsi="Calibri"/>
          <w:b/>
          <w:i w:val="0"/>
          <w:color w:val="000000"/>
          <w:sz w:val="18"/>
        </w:rPr>
        <w:t>36.000 adet</w:t>
      </w:r>
      <w:r>
        <w:rPr>
          <w:rFonts w:ascii="Calibri" w:hAnsi="Calibri"/>
          <w:b w:val="0"/>
          <w:i w:val="0"/>
          <w:color w:val="000000"/>
          <w:sz w:val="18"/>
        </w:rPr>
        <w:t xml:space="preserve">, yılda 7 dönem üretimle yıllık üretim </w:t>
      </w:r>
      <w:r>
        <w:rPr>
          <w:rFonts w:ascii="Calibri" w:hAnsi="Calibri"/>
          <w:b/>
          <w:i w:val="0"/>
          <w:color w:val="000000"/>
          <w:sz w:val="18"/>
        </w:rPr>
        <w:t>610.000 kg canlı ağırlık</w:t>
      </w:r>
      <w:r>
        <w:rPr>
          <w:rFonts w:ascii="Calibri" w:hAnsi="Calibri"/>
          <w:b w:val="0"/>
          <w:i w:val="0"/>
          <w:color w:val="000000"/>
          <w:sz w:val="18"/>
        </w:rPr>
        <w:t>tır. Yoğunluk, IPARD III 12. Çağrı rehberinin broyler için öngördüğü 13-17 adet/m² aralığındadır.</w:t>
      </w:r>
    </w:p>
    <w:p>
      <w:pPr>
        <w:spacing w:after="60"/>
        <w:jc w:val="both"/>
      </w:pPr>
      <w:r>
        <w:rPr>
          <w:rFonts w:ascii="Calibri" w:hAnsi="Calibri"/>
          <w:b w:val="0"/>
          <w:i w:val="0"/>
          <w:color w:val="000000"/>
          <w:sz w:val="18"/>
        </w:rPr>
        <w:t xml:space="preserve">Kümesler; otomatik yemleme, nipel sulama, tünel havalandırma, evaporatif serinletme (ped), katı yakıtlı merkezi sistem ısıtma, yem silosu ve dokunmatik ekranlı kümes kontrol panosu ile donatılacaktır. Elektrik kesintilerine karşı her bloğa dizel elektrojen grubu tesis edilir. Gübre, sızdırmaz betonarme gübre çukurunda; ölü hayvanlar sızdırmaz ölü atma çukurunda bertaraf edilir. Üretim, entegratör firma ile yapılacak </w:t>
      </w:r>
      <w:r>
        <w:rPr>
          <w:rFonts w:ascii="Calibri" w:hAnsi="Calibri"/>
          <w:b/>
          <w:i w:val="0"/>
          <w:color w:val="000000"/>
          <w:sz w:val="18"/>
        </w:rPr>
        <w:t>sözleşmeli üretim</w:t>
      </w:r>
      <w:r>
        <w:rPr>
          <w:rFonts w:ascii="Calibri" w:hAnsi="Calibri"/>
          <w:b w:val="0"/>
          <w:i w:val="0"/>
          <w:color w:val="000000"/>
          <w:sz w:val="18"/>
        </w:rPr>
        <w:t xml:space="preserve"> modeliyle yürütülecektir.</w:t>
      </w:r>
    </w:p>
    <w:p>
      <w:pPr>
        <w:spacing w:after="80"/>
      </w:pPr>
    </w:p>
    <w:p>
      <w:pPr>
        <w:spacing w:before="120" w:after="60"/>
      </w:pPr>
      <w:r>
        <w:rPr>
          <w:rFonts w:ascii="Calibri" w:hAnsi="Calibri"/>
          <w:b/>
          <w:i w:val="0"/>
          <w:color w:val="000000"/>
          <w:sz w:val="20"/>
        </w:rPr>
        <w:t>2.2 Öngörülen Organizasyon ve Personel Yapısı</w:t>
      </w:r>
    </w:p>
    <w:p>
      <w:pPr>
        <w:spacing w:after="60"/>
        <w:jc w:val="both"/>
      </w:pPr>
      <w:r>
        <w:rPr>
          <w:rFonts w:ascii="Calibri" w:hAnsi="Calibri"/>
          <w:b w:val="0"/>
          <w:i w:val="0"/>
          <w:color w:val="000000"/>
          <w:sz w:val="18"/>
        </w:rPr>
        <w:t>Tablo 1 — Öngörülen organizasyon yapısındaki yöneticiler</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İsim</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Eğitim Durumu ve Mesleği</w:t>
            </w:r>
          </w:p>
        </w:tc>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Çalışma Süresi</w:t>
            </w:r>
          </w:p>
        </w:tc>
      </w:tr>
      <w:tr>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r>
    </w:tbl>
    <w:p>
      <w:pPr>
        <w:spacing w:after="80"/>
      </w:pPr>
    </w:p>
    <w:p>
      <w:pPr>
        <w:spacing w:after="80"/>
      </w:pPr>
    </w:p>
    <w:p>
      <w:pPr>
        <w:spacing w:after="60"/>
        <w:jc w:val="both"/>
      </w:pPr>
      <w:r>
        <w:rPr>
          <w:rFonts w:ascii="Calibri" w:hAnsi="Calibri"/>
          <w:b w:val="0"/>
          <w:i w:val="0"/>
          <w:color w:val="000000"/>
          <w:sz w:val="18"/>
        </w:rPr>
        <w:t>Tablo 2 — Öngörülen organizasyon yapısında tüm çalışanlar</w:t>
      </w:r>
    </w:p>
    <w:tbl>
      <w:tblPr>
        <w:tblW w:type="auto" w:w="0"/>
        <w:jc w:val="center"/>
        <w:tblLayout w:type="fixed"/>
        <w:tblLook w:firstColumn="1" w:firstRow="1" w:lastColumn="0" w:lastRow="0" w:noHBand="0" w:noVBand="1" w:val="04A0"/>
      </w:tblPr>
      <w:tblGrid>
        <w:gridCol w:w="3477"/>
        <w:gridCol w:w="3477"/>
        <w:gridCol w:w="3477"/>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Çalışan Sayısı</w:t>
            </w:r>
          </w:p>
        </w:tc>
        <w:tc>
          <w:tcPr>
            <w:tcW w:type="dxa" w:w="57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Görev ve Sorumluluğu</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7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7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doğrudan ve dolaylı istihdam tahmini</w:t>
      </w:r>
    </w:p>
    <w:tbl>
      <w:tblPr>
        <w:tblW w:type="auto" w:w="0"/>
        <w:jc w:val="center"/>
        <w:tblLayout w:type="fixed"/>
        <w:tblLook w:firstColumn="1" w:firstRow="1" w:lastColumn="0" w:lastRow="0" w:noHBand="0" w:noVBand="1" w:val="04A0"/>
      </w:tblPr>
      <w:tblGrid>
        <w:gridCol w:w="2608"/>
        <w:gridCol w:w="2608"/>
        <w:gridCol w:w="2608"/>
        <w:gridCol w:w="2608"/>
      </w:tblGrid>
      <w:tr>
        <w:tc>
          <w:tcPr>
            <w:tcW w:type="dxa" w:w="43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Doğrudan İstihdam</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Dolaylı İstihdam</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Yatırım dönemi</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dönemi</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pacing w:after="60"/>
        <w:jc w:val="both"/>
      </w:pPr>
      <w:r>
        <w:rPr>
          <w:rFonts w:ascii="Calibri" w:hAnsi="Calibri"/>
          <w:b w:val="0"/>
          <w:i w:val="0"/>
          <w:color w:val="000000"/>
          <w:sz w:val="15"/>
        </w:rPr>
        <w:t>Yatırım dönemindeki doğrudan istihdam, yapım işlerinde çalışacak işçiliktir. Dolaylı istihdam; yem, altlık ve yakıt tedariki, nakliye, bakım-onarım ve veteriner hizmetlerinde oluşacak istihdamdır.</w:t>
      </w: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%65</w:t>
      </w:r>
      <w:r>
        <w:rPr>
          <w:rFonts w:ascii="Calibri" w:hAnsi="Calibri"/>
          <w:b w:val="0"/>
          <w:i w:val="0"/>
          <w:color w:val="000000"/>
          <w:sz w:val="18"/>
        </w:rPr>
        <w:t>'tir: kanatlı eti sektöründe temel oran %60, başvuru sahibi 40 yaşın altında olduğundan genç çiftçi ilavesi %5. Yatırım tek taksitte talep edilecektir.</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Taksitler</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Toplamı (TL)</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Harcamalar (Avro)</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(TL)</w:t>
            </w:r>
          </w:p>
        </w:tc>
        <w:tc>
          <w:tcPr>
            <w:tcW w:type="dxa" w:w="32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IPARD Destek Miktarı (Avro)</w:t>
            </w:r>
          </w:p>
        </w:tc>
      </w:tr>
      <w:tr>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194.346</w:t>
            </w:r>
          </w:p>
        </w:tc>
      </w:tr>
      <w:tr>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10.253.395,43</w:t>
            </w:r>
          </w:p>
        </w:tc>
        <w:tc>
          <w:tcPr>
            <w:tcW w:type="dxa" w:w="32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194.346</w:t>
            </w:r>
          </w:p>
        </w:tc>
      </w:tr>
    </w:tbl>
    <w:p>
      <w:pPr>
        <w:spacing w:after="80"/>
      </w:pPr>
    </w:p>
    <w:p>
      <w:pPr>
        <w:spacing w:after="60"/>
        <w:jc w:val="both"/>
      </w:pPr>
      <w:r>
        <w:rPr>
          <w:rFonts w:ascii="Calibri" w:hAnsi="Calibri"/>
          <w:b w:val="0"/>
          <w:i w:val="0"/>
          <w:color w:val="000000"/>
          <w:sz w:val="15"/>
        </w:rPr>
        <w:t>Kur: 1 Avro = 52,7585 TL (IPARD III 12. Çağrı sabit kuru).</w:t>
      </w:r>
    </w:p>
    <w:p>
      <w:pPr>
        <w:spacing w:after="8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Harcama kalemi</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Avro</w:t>
            </w: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Uygun harcama mı</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 Kümes A ve B blok (hibe kapsamında)</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EVET</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 diğer yapılar ve kapsam dışı pozlar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6.216.052,75</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117.821</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HAYIR</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alımı</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2.885.847,21</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54.699</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HAYIR</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ısıtma sistemi</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710.000,00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13.458</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HAYIR</w:t>
            </w:r>
          </w:p>
        </w:tc>
      </w:tr>
      <w:tr>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25.586.354,46</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484.971</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center"/>
            </w:pPr>
          </w:p>
        </w:tc>
      </w:tr>
    </w:tbl>
    <w:p>
      <w:pPr>
        <w:spacing w:after="80"/>
      </w:pPr>
    </w:p>
    <w:p>
      <w:pPr>
        <w:spacing w:after="80"/>
      </w:pPr>
    </w:p>
    <w:tbl>
      <w:tblPr>
        <w:tblW w:type="auto" w:w="0"/>
        <w:jc w:val="center"/>
        <w:tblLayout w:type="fixed"/>
        <w:tblLook w:firstColumn="1" w:firstRow="1" w:lastColumn="0" w:lastRow="0" w:noHBand="0" w:noVBand="1" w:val="04A0"/>
      </w:tblPr>
      <w:tblGrid>
        <w:gridCol w:w="5121"/>
        <w:gridCol w:w="5121"/>
        <w:gridCol w:w="5121"/>
      </w:tblGrid>
      <w:tr>
        <w:tc>
          <w:tcPr>
            <w:tcW w:type="dxa" w:w="1014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Finansman kaynağı</w:t>
            </w: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Pay</w:t>
            </w:r>
          </w:p>
        </w:tc>
      </w:tr>
      <w:tr>
        <w:tc>
          <w:tcPr>
            <w:tcW w:type="dxa" w:w="101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Öz kaynaklar</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25.586.354,46</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r>
      <w:tr>
        <w:tc>
          <w:tcPr>
            <w:tcW w:type="dxa" w:w="101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Banka kredisi</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r>
      <w:tr>
        <w:tc>
          <w:tcPr>
            <w:tcW w:type="dxa" w:w="1014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Diğer kaynaklar</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60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r>
    </w:tbl>
    <w:p>
      <w:pPr>
        <w:spacing w:after="80"/>
      </w:pPr>
    </w:p>
    <w:p>
      <w:pPr>
        <w:spacing w:after="60"/>
        <w:jc w:val="both"/>
      </w:pPr>
      <w:r>
        <w:rPr>
          <w:rFonts w:ascii="Calibri" w:hAnsi="Calibri"/>
          <w:b w:val="0"/>
          <w:i w:val="0"/>
          <w:color w:val="000000"/>
          <w:sz w:val="15"/>
        </w:rPr>
        <w:t>IPARD desteği harcama sonrası geri ödeme esasına dayandığından, yatırımın tamamı önce öz kaynaktan finanse edilir; uygun harcamanın %65'i (10.253.395,43 TL) ödeme talebi sonrasında tahsil edilir.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 — 4.1.1 Üretim bilgileri ve tahmini üretim kapasitesi</w:t>
      </w:r>
    </w:p>
    <w:tbl>
      <w:tblPr>
        <w:tblW w:type="auto" w:w="0"/>
        <w:jc w:val="center"/>
        <w:tblLayout w:type="fixed"/>
        <w:tblLook w:firstColumn="1" w:firstRow="1" w:lastColumn="0" w:lastRow="0" w:noHBand="0" w:noVBand="1" w:val="04A0"/>
      </w:tblPr>
      <w:tblGrid>
        <w:gridCol w:w="5121"/>
        <w:gridCol w:w="5121"/>
        <w:gridCol w:w="5121"/>
      </w:tblGrid>
      <w:tr>
        <w:tc>
          <w:tcPr>
            <w:tcW w:type="dxa" w:w="108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Ürün / gösterge</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sayısı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başına kapalı alan</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1.106,00</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başına iç kullanım alanı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m²</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1.060,42</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Yerleşim yoğunluğu</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adet/m²</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16.97</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Dönem kapasitesi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36.000</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dönem sayısı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adet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Yaşama gücü</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96</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Ortalama kesim ağırlığı</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w:t>
            </w:r>
          </w:p>
        </w:tc>
      </w:tr>
      <w:tr>
        <w:tc>
          <w:tcPr>
            <w:tcW w:type="dxa" w:w="108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üretim (canlı ağırlık)</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610.000</w:t>
            </w:r>
          </w:p>
        </w:tc>
      </w:tr>
    </w:tbl>
    <w:p>
      <w:pPr>
        <w:spacing w:after="80"/>
      </w:pPr>
    </w:p>
    <w:p>
      <w:pPr>
        <w:spacing w:after="80"/>
      </w:pPr>
    </w:p>
    <w:p>
      <w:pPr>
        <w:spacing w:after="60"/>
        <w:jc w:val="both"/>
      </w:pPr>
      <w:r>
        <w:rPr>
          <w:rFonts w:ascii="Calibri" w:hAnsi="Calibri"/>
          <w:b/>
          <w:i w:val="0"/>
          <w:color w:val="000000"/>
          <w:sz w:val="18"/>
        </w:rPr>
        <w:t>Pazarlama.</w:t>
      </w:r>
      <w:r>
        <w:rPr>
          <w:rFonts w:ascii="Calibri" w:hAnsi="Calibri"/>
          <w:b w:val="0"/>
          <w:i w:val="0"/>
          <w:color w:val="000000"/>
          <w:sz w:val="18"/>
        </w:rPr>
        <w:t xml:space="preserve">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w:t>
      </w:r>
      <w:r>
        <w:rPr>
          <w:rFonts w:ascii="Calibri" w:hAnsi="Calibri"/>
          <w:b/>
          <w:i w:val="0"/>
          <w:color w:val="000000"/>
          <w:sz w:val="18"/>
        </w:rPr>
        <w:t>besi ücreti</w:t>
      </w:r>
      <w:r>
        <w:rPr>
          <w:rFonts w:ascii="Calibri" w:hAnsi="Calibri"/>
          <w:b w:val="0"/>
          <w:i w:val="0"/>
          <w:color w:val="000000"/>
          <w:sz w:val="18"/>
        </w:rPr>
        <w:t>dir; pazar riski ve fiyat dalgalanması entegratöre aittir. Ürünün alıcısı sözleşme ile güvence altında olduğundan ayrıca pazarlama, satış ve dağıtım gideri doğmaz.</w:t>
      </w:r>
    </w:p>
    <w:p>
      <w:pPr>
        <w:spacing w:before="120" w:after="60"/>
      </w:pPr>
      <w:r>
        <w:rPr>
          <w:rFonts w:ascii="Calibri" w:hAnsi="Calibri"/>
          <w:b/>
          <w:i w:val="0"/>
          <w:color w:val="000000"/>
          <w:sz w:val="20"/>
        </w:rPr>
        <w:t>Mali değerlendirmede kullanılan kabuller</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Değer</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w:t>
            </w:r>
          </w:p>
        </w:tc>
        <w:tc>
          <w:tcPr>
            <w:tcW w:type="dxa" w:w="83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sulama dışı 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3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SÖZLEŞMEYLE KESİNLEŞİR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bl>
    <w:p>
      <w:pPr>
        <w:spacing w:after="80"/>
      </w:pPr>
    </w:p>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YERLEŞİM SIKLIĞI — KİLOGRAM SINIRI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yerleşim sıklığını ayrıca KİLOGRAM üzerinden sınırlar: temel sınır 33 kg/m², ek şartlar (İl Müdürlüğüne bildirim, kümes kayıt sistemi, kümülatif ölüm oranı ölçütleri) sağlanırsa 39 kg/m².</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Bu iş planındaki 2,52 kg kesim ağırlığıyla sıklık 42,76 kg/m² olur ve her iki sınırın da üzerine çıkar. Beyan edilen kapasitenin korunması için kesim ağırlığının en çok 2,30 kg (39 kg/m² istisnası) ya da 1,94 kg (temel sınır) olması gerekir. Kesim ağırlığı ipard_veri.KESIM_AGIRLIK'ten düzeltildiğinde bu iş planı, teknik proje ve A6 kendiliğinden yeniden hesaplanır.</w:t>
            </w:r>
          </w:p>
        </w:tc>
      </w:tr>
    </w:tbl>
    <w:p>
      <w:pPr>
        <w:spacing w:after="80"/>
      </w:pPr>
    </w:p>
    <w:p>
      <w:pPr>
        <w:spacing w:before="120" w:after="60"/>
      </w:pPr>
      <w:r>
        <w:rPr>
          <w:rFonts w:ascii="Calibri" w:hAnsi="Calibri"/>
          <w:b/>
          <w:i w:val="0"/>
          <w:color w:val="000000"/>
          <w:sz w:val="20"/>
        </w:rPr>
        <w:t>5. MALİ DEĞERLENDİRME (GELİRLER - GİDERLER)</w:t>
      </w:r>
    </w:p>
    <w:p>
      <w:pPr>
        <w:spacing w:before="120" w:after="60"/>
      </w:pPr>
      <w:r>
        <w:rPr>
          <w:rFonts w:ascii="Calibri" w:hAnsi="Calibri"/>
          <w:b/>
          <w:i w:val="0"/>
          <w:color w:val="000000"/>
          <w:sz w:val="20"/>
        </w:rPr>
        <w:t>5.1 İşletme Sermayesi</w:t>
      </w:r>
    </w:p>
    <w:p>
      <w:pPr>
        <w:spacing w:after="60"/>
        <w:jc w:val="both"/>
      </w:pPr>
      <w:r>
        <w:rPr>
          <w:rFonts w:ascii="Calibri" w:hAnsi="Calibri"/>
          <w:b w:val="0"/>
          <w:i w:val="0"/>
          <w:color w:val="000000"/>
          <w:sz w:val="18"/>
        </w:rPr>
        <w:t xml:space="preserve">Bir üretim dönemi yaklaşık 52 gündür. Bir dönemlik işletme gideri tutarındaki </w:t>
      </w:r>
      <w:r>
        <w:rPr>
          <w:rFonts w:ascii="Calibri" w:hAnsi="Calibri"/>
          <w:b/>
          <w:i w:val="0"/>
          <w:color w:val="000000"/>
          <w:sz w:val="18"/>
        </w:rPr>
        <w:t>513.831,80 TL</w:t>
      </w:r>
      <w:r>
        <w:rPr>
          <w:rFonts w:ascii="Calibri" w:hAnsi="Calibri"/>
          <w:b w:val="0"/>
          <w:i w:val="0"/>
          <w:color w:val="000000"/>
          <w:sz w:val="18"/>
        </w:rPr>
        <w:t xml:space="preserve"> işletme sermayesi olarak öngörülmüştür; altlık, yakıt, elektrik ve işçilik giderlerinin ilk dönem boyunca karşılanmasına yeter.</w:t>
      </w:r>
    </w:p>
    <w:p>
      <w:pPr>
        <w:spacing w:after="80"/>
      </w:pPr>
    </w:p>
    <w:p>
      <w:pPr>
        <w:spacing w:before="120" w:after="60"/>
      </w:pPr>
      <w:r>
        <w:rPr>
          <w:rFonts w:ascii="Calibri" w:hAnsi="Calibri"/>
          <w:b/>
          <w:i w:val="0"/>
          <w:color w:val="000000"/>
          <w:sz w:val="20"/>
        </w:rPr>
        <w:t>5.2 Gelirler</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85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Gelir kalemi</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Miktar</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Birim fiyat (TL)</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r>
      <w:tr>
        <w:tc>
          <w:tcPr>
            <w:tcW w:type="dxa" w:w="85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5.2.1 Satışlardan elde edilen gelir — besi ücreti (sözleşmeli üretim)</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610.000 kg</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r>
      <w:tr>
        <w:tc>
          <w:tcPr>
            <w:tcW w:type="dxa" w:w="85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5.2.2 Diğer gelirler (gübre satışı vb.)</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85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YILLIK GELİR</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r>
    </w:tbl>
    <w:p>
      <w:pPr>
        <w:spacing w:after="80"/>
      </w:pPr>
    </w:p>
    <w:p>
      <w:pPr>
        <w:spacing w:after="60"/>
        <w:jc w:val="both"/>
      </w:pPr>
      <w:r>
        <w:rPr>
          <w:rFonts w:ascii="Calibri" w:hAnsi="Calibri"/>
          <w:b w:val="0"/>
          <w:i w:val="0"/>
          <w:color w:val="000000"/>
          <w:sz w:val="15"/>
        </w:rPr>
        <w:t>Gübre, çevre mevzuatı gereği sızdırmaz depoda bekletilip tarım arazilerine bedelsiz verilecektir; iş planına gelir yazılmamıştır.</w:t>
      </w:r>
    </w:p>
    <w:p>
      <w:pPr>
        <w:spacing w:after="80"/>
      </w:pPr>
    </w:p>
    <w:p>
      <w:pPr>
        <w:spacing w:before="120" w:after="60"/>
      </w:pPr>
      <w:r>
        <w:rPr>
          <w:rFonts w:ascii="Calibri" w:hAnsi="Calibri"/>
          <w:b/>
          <w:i w:val="0"/>
          <w:color w:val="000000"/>
          <w:sz w:val="20"/>
        </w:rPr>
        <w:t>5.3 Giderler — 5.3.1 Tam kapasitede yıllık işletme giderleri</w:t>
      </w:r>
    </w:p>
    <w:tbl>
      <w:tblPr>
        <w:tblW w:type="auto" w:w="0"/>
        <w:jc w:val="center"/>
        <w:tblLayout w:type="fixed"/>
        <w:tblLook w:firstColumn="1" w:firstRow="1" w:lastColumn="0" w:lastRow="0" w:noHBand="0" w:noVBand="1" w:val="04A0"/>
      </w:tblPr>
      <w:tblGrid>
        <w:gridCol w:w="5121"/>
        <w:gridCol w:w="5121"/>
        <w:gridCol w:w="5121"/>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Gider kalemi</w:t>
            </w:r>
          </w:p>
        </w:tc>
        <w:tc>
          <w:tcPr>
            <w:tcW w:type="dxa" w:w="226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95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Açıklama</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ilk madde ve malzeme</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66 ton + katı yakıt 60 ton. Civciv, yem ve ilaç sözleşmeli üretim gereği entegratöre aittir.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işçilik</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daimi kümes bakıcısı, SGK işveren payı dâhil.</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üretim giderleri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246.000 kWh, su 2.000 m³, bakım-onarım (sabit yatırımın %1'i).</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yönetim giderleri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(sabit yatırımın %0,3'ü), muhasebe, danışmanlık, haberleşme ve ofis giderleri.</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Pazarlama, satış ve dağıtım giderleri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Sözleşmeli üretimde canlı hayvan entegratör tarafından işletmeden alınır; pazarlama ve nakliye gideri doğmaz.</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Mali giderler</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Yatırım öz kaynakla finanse edilmektedir; kredi kullanılmayacaktır.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GİDERİ</w:t>
            </w:r>
          </w:p>
        </w:tc>
        <w:tc>
          <w:tcPr>
            <w:tcW w:type="dxa" w:w="226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3.596.822,60</w:t>
            </w:r>
          </w:p>
        </w:tc>
        <w:tc>
          <w:tcPr>
            <w:tcW w:type="dxa" w:w="9581"/>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before="120" w:after="60"/>
      </w:pPr>
      <w:r>
        <w:rPr>
          <w:rFonts w:ascii="Calibri" w:hAnsi="Calibri"/>
          <w:b/>
          <w:i w:val="0"/>
          <w:color w:val="000000"/>
          <w:sz w:val="20"/>
        </w:rPr>
        <w:t>5.3.3 Toplam amortisman giderleri</w:t>
      </w:r>
    </w:p>
    <w:tbl>
      <w:tblPr>
        <w:tblW w:type="auto" w:w="0"/>
        <w:jc w:val="center"/>
        <w:tblLayout w:type="fixed"/>
        <w:tblLook w:firstColumn="1" w:firstRow="1" w:lastColumn="0" w:lastRow="0" w:noHBand="0" w:noVBand="1" w:val="04A0"/>
      </w:tblPr>
      <w:tblGrid>
        <w:gridCol w:w="3841"/>
        <w:gridCol w:w="3841"/>
        <w:gridCol w:w="3841"/>
        <w:gridCol w:w="3841"/>
      </w:tblGrid>
      <w:tr>
        <w:tc>
          <w:tcPr>
            <w:tcW w:type="dxa" w:w="788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Amortismana esas kıymet</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Tutar (TL)</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Oran</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Yıllık amortisman (TL)</w:t>
            </w:r>
          </w:p>
        </w:tc>
      </w:tr>
      <w:tr>
        <w:tc>
          <w:tcPr>
            <w:tcW w:type="dxa" w:w="78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 ve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21.990.507,25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439.810,15</w:t>
            </w:r>
          </w:p>
        </w:tc>
      </w:tr>
      <w:tr>
        <w:tc>
          <w:tcPr>
            <w:tcW w:type="dxa" w:w="78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ekipman ve ısıtma sistemi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r>
      <w:tr>
        <w:tc>
          <w:tcPr>
            <w:tcW w:type="dxa" w:w="788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25.586.354,46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799.394,87</w:t>
            </w:r>
          </w:p>
        </w:tc>
      </w:tr>
    </w:tbl>
    <w:p>
      <w:pPr>
        <w:spacing w:after="80"/>
      </w:pPr>
    </w:p>
    <w:p>
      <w:pPr>
        <w:spacing w:before="120" w:after="60"/>
      </w:pPr>
      <w:r>
        <w:rPr>
          <w:rFonts w:ascii="Calibri" w:hAnsi="Calibri"/>
          <w:b/>
          <w:i w:val="0"/>
          <w:color w:val="000000"/>
          <w:sz w:val="20"/>
        </w:rPr>
        <w:t>6. TAHMİNİ GELİR-GİDER VE NAKİT AKIŞ TABLOSU</w:t>
      </w:r>
    </w:p>
    <w:p>
      <w:pPr>
        <w:spacing w:after="60"/>
        <w:jc w:val="both"/>
      </w:pPr>
      <w:r>
        <w:rPr>
          <w:rFonts w:ascii="Calibri" w:hAnsi="Calibri"/>
          <w:b w:val="0"/>
          <w:i w:val="0"/>
          <w:color w:val="000000"/>
          <w:sz w:val="18"/>
        </w:rPr>
        <w:t>Tablo sabit fiyatlarla düzenlenmiştir; enflasyon ve fiyat artışı gelir ve giderlere aynı oranda yansıyacağından reel sonucu değiştirmez. İşletme birinci yılın başında tam kapasiteye ulaşır; kümes ekipmanı ve otomasyon devreye alma süresi yatırım dönemine dâhildir.</w:t>
      </w:r>
    </w:p>
    <w:tbl>
      <w:tblPr>
        <w:tblW w:type="auto" w:w="0"/>
        <w:jc w:val="center"/>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Kalem</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1.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2.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3.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4.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5.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6.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7.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8.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9. Yıl</w:t>
            </w:r>
          </w:p>
        </w:tc>
        <w:tc>
          <w:tcPr>
            <w:tcW w:type="dxa" w:w="127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 geliri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7.320.000,00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gelir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7.320.000,00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ilk madde ve malzeme</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687.000,00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Direkt işçilik</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üretim giderleri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1.093.063,54</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Genel yönetim giderleri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256.759,06</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Pazarlama, satış ve dağıtım giderleri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Mali giderler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Amortismanlar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4.396.217,47</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DÖNEM KÂRI (vergi öncesi)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2.923.782,53</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Amortisman (nakit çıkışı olmayan)</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799.394,87</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NET NAKİT AKIŞI</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c>
          <w:tcPr>
            <w:tcW w:type="dxa" w:w="127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3.723.177,40</w:t>
            </w:r>
          </w:p>
        </w:tc>
      </w:tr>
    </w:tbl>
    <w:p>
      <w:pPr>
        <w:spacing w:after="80"/>
      </w:pPr>
    </w:p>
    <w:p>
      <w:pPr>
        <w:spacing w:after="80"/>
      </w:pPr>
    </w:p>
    <w:tbl>
      <w:tblPr>
        <w:tblW w:type="auto" w:w="0"/>
        <w:jc w:val="center"/>
        <w:tblLayout w:type="fixed"/>
        <w:tblLook w:firstColumn="1" w:firstRow="1" w:lastColumn="0" w:lastRow="0" w:noHBand="0" w:noVBand="1" w:val="04A0"/>
      </w:tblPr>
      <w:tblGrid>
        <w:gridCol w:w="7682"/>
        <w:gridCol w:w="7682"/>
      </w:tblGrid>
      <w:tr>
        <w:tc>
          <w:tcPr>
            <w:tcW w:type="dxa" w:w="1196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Gösterge</w:t>
            </w:r>
          </w:p>
        </w:tc>
        <w:tc>
          <w:tcPr>
            <w:tcW w:type="dxa" w:w="3402"/>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Değer</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Toplam yatırım (KDV hariç)</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25.586.354,46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desteği</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10.253.395,43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Başvuru sahibinin net katkısı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15.332.959,03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net nakit akışı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3.723.177,40 TL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Basit geri ödeme süresi (destek sonrası)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4,1 yıl</w:t>
            </w:r>
          </w:p>
        </w:tc>
      </w:tr>
      <w:tr>
        <w:tc>
          <w:tcPr>
            <w:tcW w:type="dxa" w:w="11962"/>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 dönem kârı (amortisman sonrası)</w:t>
            </w:r>
          </w:p>
        </w:tc>
        <w:tc>
          <w:tcPr>
            <w:tcW w:type="dxa" w:w="3402"/>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2.923.782,53 TL</w:t>
            </w:r>
          </w:p>
        </w:tc>
      </w:tr>
    </w:tbl>
    <w:p>
      <w:pPr>
        <w:spacing w:after="80"/>
      </w:pPr>
    </w:p>
    <w:p>
      <w:pPr>
        <w:spacing w:after="120"/>
      </w:pPr>
    </w:p>
    <w:p>
      <w:pPr>
        <w:sectPr>
          <w:pgSz w:w="16838" w:h="11906" w:orient="landscape"/>
          <w:pgMar w:top="850" w:right="737" w:bottom="850" w:left="737" w:header="720" w:footer="720" w:gutter="0"/>
          <w:cols w:space="720"/>
          <w:docGrid w:linePitch="360"/>
        </w:sectPr>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Öz kaynağın varlığı, başvuru paketinde sunulan banka hesap dökümü ve/veya banka niyet mektubu ile belgelenecektir. IPARD desteği harcama sonrası ödendiğinden, yatırım süresince nakit ihtiyacının tamamı başvuru sahibi tarafından karşılanacaktır.</w:t>
      </w:r>
    </w:p>
    <w:p>
      <w:pPr>
        <w:spacing w:after="240"/>
      </w:pPr>
    </w:p>
    <w:tbl>
      <w:tblPr>
        <w:tblW w:type="auto" w:w="0"/>
        <w:jc w:val="center"/>
        <w:tblLayout w:type="fixed"/>
        <w:tblLook w:firstColumn="1" w:firstRow="1" w:lastColumn="0" w:lastRow="0" w:noHBand="0" w:noVBand="1" w:val="04A0"/>
      </w:tblPr>
      <w:tblGrid>
        <w:gridCol w:w="5216"/>
        <w:gridCol w:w="5216"/>
      </w:tblGrid>
      <w:tr>
        <w:tc>
          <w:tcPr>
            <w:tcW w:type="dxa" w:w="5216"/>
          </w:tcPr>
          <w:p>
            <w:pPr>
              <w:spacing w:before="20" w:after="20"/>
              <w:jc w:val="center"/>
            </w:pPr>
            <w:r>
              <w:rPr>
                <w:rFonts w:ascii="Calibri" w:hAnsi="Calibri"/>
                <w:b w:val="0"/>
                <w:i w:val="0"/>
                <w:color w:val="000000"/>
                <w:sz w:val="16"/>
              </w:rPr>
              <w:t>Başvuru Sahibi Adı-Soyadı / İmza</w:t>
            </w:r>
          </w:p>
        </w:tc>
        <w:tc>
          <w:tcPr>
            <w:tcW w:type="dxa" w:w="5216"/>
          </w:tcPr>
          <w:p>
            <w:pPr>
              <w:spacing w:before="20" w:after="20"/>
              <w:jc w:val="center"/>
            </w:pPr>
            <w:r>
              <w:rPr>
                <w:rFonts w:ascii="Calibri" w:hAnsi="Calibri"/>
                <w:b w:val="0"/>
                <w:i w:val="0"/>
                <w:color w:val="000000"/>
                <w:sz w:val="16"/>
              </w:rPr>
              <w:t>Tarih</w:t>
            </w:r>
          </w:p>
        </w:tc>
      </w:tr>
    </w:tbl>
    <w:p>
      <w:pPr>
        <w:spacing w:after="80"/>
      </w:pP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