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YAPIM İŞLERİ TEKLİFİ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KÜMES B BLOK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teklif yalnızca yukarıdaki yapıya aittir; diğer yapılar için ayrı teklifler düzenlenmiştir.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 veren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MAHMUT TARI MAFREN MÜHENDİSLİK DANIŞMANLIK HİZMETLERİ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MAHMUT TARI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Şehitler Mah. 416. Sk. No: 2 İç Kapı No: 1 Gölcük / KOCAELİ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dairesi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/ 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49438405322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İşe başlama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01.11.2022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Ticaret sicil no / Mersis no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Gölcük/6196 / 4943840532200001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0541 553 66 86 · mahmuttari@gmail.com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Teklifin sunulduğu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yeri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 (7.966,67 m²)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Teklifin konusu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 ÇİFTLİĞİ KANATLI (ETLİK PİLİÇ) KÜMESİ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Yapının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Kümes B Blok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alanı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 m²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blok ile geometrik olarak birebir aynıdır.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26.08.2026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geçerlilik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26.12.2027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Beyanlar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Tarafınızca gönderilen teknik şartname, mahal listesi, metraj cetvelleri ve projeleri inceledik; </w:t>
      </w:r>
      <w:r>
        <w:rPr>
          <w:rFonts w:ascii="Calibri" w:hAnsi="Calibri"/>
          <w:b/>
          <w:i w:val="0"/>
          <w:color w:val="000000"/>
          <w:sz w:val="18"/>
        </w:rPr>
        <w:t>Kümes B Blok</w:t>
      </w:r>
      <w:r>
        <w:rPr>
          <w:rFonts w:ascii="Calibri" w:hAnsi="Calibri"/>
          <w:b w:val="0"/>
          <w:i w:val="0"/>
          <w:color w:val="000000"/>
          <w:sz w:val="18"/>
        </w:rPr>
        <w:t xml:space="preserve"> yapısını bu belgelerde tanımlandığı şekilde, eksiksiz ve fen kurallarına uygun olarak yapmayı kabul ve taahhüt ederiz.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Aşağıdaki cetvelde bu yapıya ait </w:t>
      </w:r>
      <w:r>
        <w:rPr>
          <w:rFonts w:ascii="Calibri" w:hAnsi="Calibri"/>
          <w:b/>
          <w:i w:val="0"/>
          <w:color w:val="000000"/>
          <w:sz w:val="18"/>
        </w:rPr>
        <w:t>bütün kalemler</w:t>
      </w:r>
      <w:r>
        <w:rPr>
          <w:rFonts w:ascii="Calibri" w:hAnsi="Calibri"/>
          <w:b w:val="0"/>
          <w:i w:val="0"/>
          <w:color w:val="000000"/>
          <w:sz w:val="18"/>
        </w:rPr>
        <w:t xml:space="preserve"> fiyatlandırılmıştır; fiyatlandırılmamış kalem yoktur.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fiyatlarımız </w:t>
      </w:r>
      <w:r>
        <w:rPr>
          <w:rFonts w:ascii="Calibri" w:hAnsi="Calibri"/>
          <w:b/>
          <w:i w:val="0"/>
          <w:color w:val="000000"/>
          <w:sz w:val="18"/>
        </w:rPr>
        <w:t>güncel piyasa fiyatlarıdır</w:t>
      </w:r>
      <w:r>
        <w:rPr>
          <w:rFonts w:ascii="Calibri" w:hAnsi="Calibri"/>
          <w:b w:val="0"/>
          <w:i w:val="0"/>
          <w:color w:val="000000"/>
          <w:sz w:val="18"/>
        </w:rPr>
        <w:t>; malzeme, işçilik, iş yerinde yükleme–yatay ve düşey taşıma–boşaltma, makine ve ekipman giderleri, müteahhit kârı ve genel giderler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hariçtir</w:t>
      </w:r>
      <w:r>
        <w:rPr>
          <w:rFonts w:ascii="Calibri" w:hAnsi="Calibri"/>
          <w:b w:val="0"/>
          <w:i w:val="0"/>
          <w:color w:val="000000"/>
          <w:sz w:val="18"/>
        </w:rPr>
        <w:t>; KDV ayrıca gösterilmiştir.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Teklifimiz yukarıdaki geçerlilik tarihine kadar bağlayıcıdır ve bu süre içinde geri çekilmeyecektir.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6.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İşveren ile aramızda herhangi bir ortaklık, akrabalık veya çıkar ilişkisi </w:t>
      </w:r>
      <w:r>
        <w:rPr>
          <w:rFonts w:ascii="Calibri" w:hAnsi="Calibri"/>
          <w:b/>
          <w:i w:val="0"/>
          <w:color w:val="000000"/>
          <w:sz w:val="18"/>
        </w:rPr>
        <w:t>bulunmamaktadır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Birim fiyat teklif cetveli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İşin tanımı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ile yumuşak ve sert toprak kazılması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52,37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88.211,24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2.750,45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86.443,89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278,340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2.960,45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824.011,65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Plywood ile düz yüzeyli betonarme kalıbı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863,80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476.178,39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8 - Ø 12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39.045,24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162.428,20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14 - Ø 28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37.532,19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273.534,60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Nervürlü çelik hasırın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36.949,50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134.385,33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çeşit profil, çelik çubuk ve çelik saclarla karkas (çerçeve) inşaat yapılması, yerine tespiti (boya bedeli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72.192,55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3.179.937,44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demirlerden çeşitli demir işleri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147,67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99.529,58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929,28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471.990,60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teçhizatlı gazbeton lento temini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1.777,52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88.609,37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607,93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27.356,85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veya iniş borusu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227,85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72.729,72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70 mm çapında bir ucu muflu sert PVC yağmur borusu temini ve yerine tesbiti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174,22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8.920,06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13,400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870,14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11.659,88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kaplamalı, iki yüzü odun lifinden yapılmış levhalarla (MDF) presli, kraft dolgulu iç kapı kanadı yapılması, yerinde takılması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2.687,73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15.239,43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 mm kalınlığında sıcak haddelenmiş sacdan bükme kapı kasası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183,57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9.970,60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harç ile kaba sıva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372,55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207.793,49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harç ile kaba sıva yapılması (iç cephe)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381,49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247.113,96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beton, sıvalı veya eski boyalı yüzeylere astar uygulanarak silikon esaslı su bazlı dış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324,27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180.864,84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Yeni sıva yüzeylere astar uygulanarak iki kat su bazlı plastik antibakteriyel iç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612,760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248,75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152.424,05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701,48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42.088,80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Çapı 150 mm HDPE koruge boru döşenmesi (SN 8, lastik conta ve boru bedeli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330,70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8.267,50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dağıtım panosu (sıva üstü galvanizli sac tablo, 0,40-0,50 m²)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7.084,16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7.084,16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Termik-manyetik kompakt şalter 3x100 A, Icu 35 kA — kümes besleme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3.528,05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3.528,05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Kaçak akım koruma şalteri 2x63 A, 30 mA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1.079,20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2.158,40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YVV (NYY) 1 kV yeraltı kablosu ile kolon hattı tesisi — 1x25 mm²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60.000,00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2700 lm — kümes genel aydınlatması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1.996,08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59.882,40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1800 lm — servis bölümü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1.370,96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2.741,92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Boş boru döşemesi — 25-32 mm PVC boru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29,06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14.530,00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1x2,5 mm² ile tesisat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19,50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39.000,00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1x1,5 mm² ile kumanda tesisatı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12,22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7.332,00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Çıplak bakır tel 25 mm² — eşpotansiyel bara ve topraklama iletkeni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157,05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15.705,00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ihata iletkeni tesisatı — 30x3,5 mm galvanizli çelik lama (temel topraklaması)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115,96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21.568,56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Aktif yakalama ucu, ortalama uyarım yolu DL = 30-40 m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15.595,61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15.595,61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ihata ve indirme iletkeni tesisatı — 50 mm² elektrolitik bakır tel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426,72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6.827,52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Dizel elektrojen grubu (jeneratör) 63 kVA / 50 kW — dizel motoru su veya hava ile soğuyan cinsten, 1500 d/dak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467.349,29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467.349,29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Jeneratör ses izolasyon kabini — 63 kVA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79.653,55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79.653,55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— 200x60x1,0 mm sıcak daldırma galvanizli perfore kablo tavası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199,42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100.108,84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162,37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58.648,04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 üstü PVC kablo kanalı — en az 100 x 35 mm, üç bölmeli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233,28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28.693,44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7.860.096,25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%20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1.572.019,25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TEKLİF BEDELİ (KDV dâhil)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9.432.115,50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Notlar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fiyatlara malzeme, işçilik, iş yerinde yükleme, yatay ve düşey taşıma, boşaltma, makine ve ekipman giderleri, müteahhit kârı ve genel giderler dâhildir; KDV hariçtir.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Şantiye kurulumu, iş güvenliği önlemleri, geçici imalatlar, şantiye elektrik ve su bedelleri ile artık malzemenin sahadan uzaklaştırılması teklif bedeline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Metrajlar projeye göre hazırlanmış olup imalat sonrası yerinde ölçülerek kesinleşir; ödemeler gerçekleşen metraj üzerinden yapılır.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Zemin etüdü raporunun öngörmediği zemin iyileştirme, iksa ve su düşürme işleri teklif kapsamı dışındadır.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 süresi, teslim programı, avans ve hakediş koşulları sözleşme aşamasında belirlenecektir.</w:t>
      </w: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Teklifi veren — kaşe ve yetkili imzası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/>
              <w:br/>
              <w:t/>
              <w:br/>
              <w:t/>
              <w:br/>
              <w:t/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Teklifi veren gerçek kişi (şahıs işletmesi) olduğundan kaşe zorunlu değildir; ıslak imza zorunludur.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