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Ünvanı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&lt;TKDK tarafından doldurulacaktır&gt;</w:t>
            </w: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kullanılmalıdır.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46441018266 kimlik numaralı Musab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pPr>
        <w:spacing w:after="60"/>
        <w:jc w:val="both"/>
      </w:pPr>
      <w:r>
        <w:rPr>
          <w:rFonts w:ascii="Calibri" w:hAnsi="Calibri"/>
          <w:b w:val="0"/>
          <w:i w:val="0"/>
          <w:color w:val="000000"/>
          <w:sz w:val="18"/>
        </w:rPr>
        <w:t>Başvuru sahibinin hâlihazırda faaliyette olan bir tarımsal işletmesi bulunmamaktadır; bu başvuru yeni yatırım niteliğindedir. Yatırım yeri, başvuru sahibi adına kayıtlı 7.966,67 m² yüzölçümlü Kocaeli İli Karamürsel İlçesi İnebeyli Mahallesi 138 ada 17 parseldir.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Bu yatırımla, Kocaeli İli, Karamürsel İlçe sınırları içerisinde, </w:t>
      </w:r>
      <w:r>
        <w:rPr>
          <w:rFonts w:ascii="Calibri" w:hAnsi="Calibri"/>
          <w:b/>
          <w:i w:val="0"/>
          <w:color w:val="000000"/>
          <w:sz w:val="18"/>
        </w:rPr>
        <w:t>2.212,00 m²</w:t>
      </w:r>
      <w:r>
        <w:rPr>
          <w:rFonts w:ascii="Calibri" w:hAnsi="Calibri"/>
          <w:b w:val="0"/>
          <w:i w:val="0"/>
          <w:color w:val="000000"/>
          <w:sz w:val="18"/>
        </w:rPr>
        <w:t xml:space="preserve"> kapalı alana sahip, AB standartlarına uygun, tam otomatik yemleme-sulama-havalandırma sistemine sahip yeni bir broyler (etlik piliç) kümesi yatırımının başlatılması planlanmaktadır. Kapasite: </w:t>
      </w:r>
      <w:r>
        <w:rPr>
          <w:rFonts w:ascii="Calibri" w:hAnsi="Calibri"/>
          <w:b/>
          <w:i w:val="0"/>
          <w:color w:val="000000"/>
          <w:sz w:val="18"/>
        </w:rPr>
        <w:t>36.000 baş/dönem</w:t>
      </w:r>
      <w:r>
        <w:rPr>
          <w:rFonts w:ascii="Calibri" w:hAnsi="Calibri"/>
          <w:b w:val="0"/>
          <w:i w:val="0"/>
          <w:color w:val="000000"/>
          <w:sz w:val="18"/>
        </w:rPr>
        <w:t xml:space="preserve">, yıllık </w:t>
      </w:r>
      <w:r>
        <w:rPr>
          <w:rFonts w:ascii="Calibri" w:hAnsi="Calibri"/>
          <w:b/>
          <w:i w:val="0"/>
          <w:color w:val="000000"/>
          <w:sz w:val="18"/>
        </w:rPr>
        <w:t>6 dönem</w:t>
      </w:r>
      <w:r>
        <w:rPr>
          <w:rFonts w:ascii="Calibri" w:hAnsi="Calibri"/>
          <w:b w:val="0"/>
          <w:i w:val="0"/>
          <w:color w:val="000000"/>
          <w:sz w:val="18"/>
        </w:rPr>
        <w:t xml:space="preserve"> üretim ile toplam </w:t>
      </w:r>
      <w:r>
        <w:rPr>
          <w:rFonts w:ascii="Calibri" w:hAnsi="Calibri"/>
          <w:b/>
          <w:i w:val="0"/>
          <w:color w:val="000000"/>
          <w:sz w:val="18"/>
        </w:rPr>
        <w:t>216.000 baş/yıl</w:t>
      </w:r>
      <w:r>
        <w:rPr>
          <w:rFonts w:ascii="Calibri" w:hAnsi="Calibri"/>
          <w:b w:val="0"/>
          <w:i w:val="0"/>
          <w:color w:val="000000"/>
          <w:sz w:val="18"/>
        </w:rPr>
        <w:t xml:space="preserve"> kapasiteye ulaşılmaktadır.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Yatırım, her biri 14,00 x 79,00 m ölçüsünde 2 adet kümes ile gübre çukuru, ölü atma çukuru, foseptik, su deposu, yağmur suyu deposu, yem silosu kaideleri ve çevre düzenlemesinden oluşur. Kümesler otomatik yemleme, nipel sulama, tünel havalandırma, evaporatif serinletme, katı yakıtlı merkezi sistem ısıtma, yem silosu ve dokunmatik ekranlı kümes kontrol panosu ile donatılacaktır. Elektrik kesintilerine karşı her bloğa dizel elektrojen grubu tesis edilir. Üretim, entegratör firma ile yapılacak sözleşmeli üretim modeliyle yürütülecektir.</w:t>
      </w:r>
    </w:p>
    <w:p>
      <w:pPr>
        <w:spacing w:after="80"/>
      </w:pPr>
    </w:p>
    <w:p>
      <w:pPr>
        <w:spacing w:before="120" w:after="60"/>
      </w:pPr>
      <w:r>
        <w:rPr>
          <w:rFonts w:ascii="Calibri" w:hAnsi="Calibri"/>
          <w:b/>
          <w:i w:val="0"/>
          <w:color w:val="000000"/>
          <w:sz w:val="20"/>
        </w:rPr>
        <w:t>2.2 Öngörülen Organizasyon ve Personel Yapısı</w:t>
      </w: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1 - Öngörülen Organizasyon Yapısındaki Yöneticiler</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0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İsim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Eğitim Durumu ve Mesleği</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ile İlgili Çalışma Süresi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Daha Önce İlgili Alanda Faaliyet/Proje Yürütüp Yürütmediği</w:t>
            </w: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Lisans — Veteriner Hekim (Uludağ Üniversitesi Veterinerlik Fakültesi, 15.10.2020)</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Yeni yatırımdır; daha önce yürütülmüş bir proje bulunmamaktadır.</w:t>
            </w:r>
          </w:p>
        </w:tc>
      </w:tr>
    </w:tbl>
    <w:p>
      <w:pPr>
        <w:spacing w:after="80"/>
      </w:pP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2 - Öngörülen Organizasyon Yapısında Tüm Çalışanlar ve Pozisyonları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555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Çalışan Sayısı</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olan Doğrudan ve Dolaylı İstihdam Tahmini</w:t>
      </w:r>
    </w:p>
    <w:tbl>
      <w:tblPr>
        <w:tblW w:type="auto" w:w="0"/>
        <w:jc w:val="center"/>
        <w:tblLayout w:type="fixed"/>
        <w:tblLook w:firstColumn="1" w:firstRow="1" w:lastColumn="0" w:lastRow="0" w:noHBand="0" w:noVBand="1" w:val="04A0"/>
      </w:tblPr>
      <w:tblGrid>
        <w:gridCol w:w="2608"/>
        <w:gridCol w:w="2608"/>
        <w:gridCol w:w="2608"/>
        <w:gridCol w:w="2608"/>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 Dönemi</w:t>
            </w: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Aşama</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Personel Sayısı</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Doğrudan İstihdam Tahmini</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Dolaylı İstihdam Tahmini</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 kümes, müştemilat ve saha altyapısı</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r>
    </w:tbl>
    <w:p>
      <w:pPr>
        <w:spacing w:after="80"/>
      </w:pPr>
    </w:p>
    <w:p>
      <w:pPr>
        <w:spacing w:after="60"/>
        <w:jc w:val="both"/>
      </w:pPr>
      <w:r>
        <w:rPr>
          <w:rFonts w:ascii="Calibri" w:hAnsi="Calibri"/>
          <w:b w:val="0"/>
          <w:i w:val="0"/>
          <w:color w:val="000000"/>
          <w:sz w:val="18"/>
        </w:rPr>
        <w:t>Yatırım döneminde daimi kadro kurulmaz; doğrudan istihdam yüklenicinin yapım işlerinde çalıştıracağı işçiliktir. Dolaylı istihdam nakliye, malzeme tedariki ve montaj hizmetlerinde doğar.</w:t>
      </w:r>
    </w:p>
    <w:p>
      <w:pPr>
        <w:spacing w:after="80"/>
      </w:pPr>
    </w:p>
    <w:tbl>
      <w:tblPr>
        <w:tblW w:type="auto" w:w="0"/>
        <w:jc w:val="center"/>
        <w:tblLayout w:type="fixed"/>
        <w:tblLook w:firstColumn="1" w:firstRow="1" w:lastColumn="0" w:lastRow="0" w:noHBand="0" w:noVBand="1" w:val="04A0"/>
      </w:tblPr>
      <w:tblGrid>
        <w:gridCol w:w="2608"/>
        <w:gridCol w:w="2608"/>
        <w:gridCol w:w="2608"/>
        <w:gridCol w:w="2608"/>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İşletme Dönemi</w:t>
            </w: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Aşama</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Personel Sayısı</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Doğrudan İstihdam Tahmini</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Dolaylı İstihdam Tahmini</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işletmeciliği — etlik piliç yetiştiriciliği</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pacing w:after="60"/>
        <w:jc w:val="both"/>
      </w:pPr>
      <w:r>
        <w:rPr>
          <w:rFonts w:ascii="Calibri" w:hAnsi="Calibri"/>
          <w:b w:val="0"/>
          <w:i w:val="0"/>
          <w:color w:val="000000"/>
          <w:sz w:val="18"/>
        </w:rPr>
        <w:t>İşletme döneminde 3 kişi tam zamanlı çalışır: işletme sahibi ve 2 kümes bakıcısı. Dolaylı istihdam altlık, yakıt ve ekipman tedariki, nakliye, bakım-onarım ile veteriner hizmetlerinde oluşur.</w:t>
      </w: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%70</w:t>
      </w:r>
      <w:r>
        <w:rPr>
          <w:rFonts w:ascii="Calibri" w:hAnsi="Calibri"/>
          <w:b w:val="0"/>
          <w:i w:val="0"/>
          <w:color w:val="000000"/>
          <w:sz w:val="18"/>
        </w:rPr>
        <w:t>'tir: kanatlı eti sektöründe baz oran %60; yatırım uygulama arazisi dağlık alanda olduğu ve başvurunun sunulduğu tarihte başvuru sahibi 40 yaşın altında bulunduğu için %10 ilave uygulanmıştır. Destek tek taksitte talep edilmektedir. Kur: 1 Avro = 52,7585 TL (IPARD III 12. Çağrı sabit kuru).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79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Tahmini IPARD Destek Miktarı</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Taksitler</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(Avro)</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(Avro)</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209.296</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209.296</w:t>
            </w:r>
          </w:p>
        </w:tc>
      </w:tr>
    </w:tbl>
    <w:p>
      <w:pPr>
        <w:spacing w:after="80"/>
      </w:pPr>
    </w:p>
    <w:p>
      <w:pPr>
        <w:spacing w:after="12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538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3 - Toplam Yatırım Bütçesi ve Finansmanı Tablosu</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BÜTÇESİ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 (KDV Hariç)</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UYGUN HARCAMALAR (A1+A2+A3+A4)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 Görünürlük Harcamaları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UYGUN OLMAYAN HARCAMALAR (B1+…+B7)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15.327.769,66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15.327.769,66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Harcamalar — görünürlük (tanıtım panosu)</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B4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B5 – İşletme Sermayesi Değişimi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B6 – Yatırım Dönemi Finansman Giderleri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B7 – Yatırım Dönemi KDV Ödemeleri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TOPLAM YATIRIM TUTARI (A+B)</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FİNANSMAN KAYNAKLARI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(TL)</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ÖZKAYNAK</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20.060.106,01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20.060.106,01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BANKA KREDİSİ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IPARD DESTEK TUTARI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F1 – 1.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F2 – 2.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DİĞER KAYNAKLAR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H- FİNANSMAN KAYNAKLARI TOPLAMI (D+E+F+G)</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NET NAKİT AKIŞI (H-C)</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KÜMÜLATİF NET NAKİT AKIŞI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KDV ve işletme sermayesi değişimi IPARD'da hiçbir zaman uygun harcama değildir; tabloda uygun olmayan harcama olarak gösterilmiştir. IPARD desteği harcama sonrası ödendiğinden yatırım süresince nakit ihtiyacının tamamı öz kaynaktan karşılanır.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w:t>
      </w:r>
    </w:p>
    <w:p>
      <w:pPr>
        <w:spacing w:after="60"/>
        <w:jc w:val="both"/>
      </w:pPr>
      <w:r>
        <w:rPr>
          <w:rFonts w:ascii="Calibri" w:hAnsi="Calibri"/>
          <w:b w:val="0"/>
          <w:i w:val="0"/>
          <w:color w:val="000000"/>
          <w:sz w:val="18"/>
        </w:rPr>
        <w:t>4.1.1 Üretim Bilgileri ve Tahmini Üretim Kapasitesi</w:t>
      </w:r>
    </w:p>
    <w:p>
      <w:pPr>
        <w:spacing w:after="60"/>
        <w:jc w:val="both"/>
      </w:pPr>
      <w:r>
        <w:rPr>
          <w:rFonts w:ascii="Calibri" w:hAnsi="Calibri"/>
          <w:b w:val="0"/>
          <w:i w:val="0"/>
          <w:color w:val="000000"/>
          <w:sz w:val="18"/>
        </w:rPr>
        <w:t>İşletme, sözleşmeli üretim modeliyle etlik piliç (broyler) yetiştirir. Kümeslerin iç kullanım alanı 2.120,84 m², yerleşim yoğunluğu 16,97 adet/m²'dir; dönem kapasitesi 36.000 adet, yıllık 6 dönem ile 216.000 adettir. Ortalama kesim ağırlığı 2,52 kg ve yaşama gücü %96 kabulüyle yıllık üretim 523.000 kg canlı ağırlıktır. İşletme birinci yıldan itibaren tam kapasitede çalışır; kapasite kullanım oranı bütün yıllarda %100'dür.</w:t>
      </w:r>
    </w:p>
    <w:p>
      <w:pPr>
        <w:spacing w:after="8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4 - Kurulu Kapasite ve Tahmini Üretim Miktarı</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(Ton, Kg, Lt, vb.)</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Ürün 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Kurulu Kapasite</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Üretim Miktarı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Birim Satış Fiyatı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Kapasite Kullanım Oranı KKO1 = % [(B1/A1)*100]</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ORTALAMA KAPASİTE KULLANIM ORANI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r>
    </w:tbl>
    <w:p>
      <w:pPr>
        <w:spacing w:after="80"/>
      </w:pPr>
    </w:p>
    <w:p>
      <w:pPr>
        <w:spacing w:after="80"/>
      </w:pPr>
    </w:p>
    <w:p>
      <w:pPr>
        <w:spacing w:after="60"/>
        <w:jc w:val="both"/>
      </w:pPr>
      <w:r>
        <w:rPr>
          <w:rFonts w:ascii="Calibri" w:hAnsi="Calibri"/>
          <w:b w:val="0"/>
          <w:i w:val="0"/>
          <w:color w:val="000000"/>
          <w:sz w:val="18"/>
        </w:rPr>
        <w:t>Pazarlama.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besi ücretidir; pazar riski ve fiyat dalgalanması entegratöre aittir. Ürünün alıcısı sözleşme ile güvence altında olduğundan ayrıca pazarlama, satış ve dağıtım gideri doğmaz.</w:t>
      </w:r>
    </w:p>
    <w:p>
      <w:pPr>
        <w:spacing w:after="80"/>
      </w:pP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Mali değerlendirmede kullanılan kabuller</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Değer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Gelir vergisi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vergi öncesi kâr üzerinden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Genç çiftçi kazanç istisnası ve zirai kazanç rejimi kesinleşene kadar sıfır alınmıştır; mükellefiyet durumu belli olunca yazılır.</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VE YERLEŞİM SIKLIĞI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sıklığı ayrıca KİLOGRAM üzerinden sınırlar: temel 33 kg/m², ek şartlarla 39 kg/m². 2,52 kg kesim ağırlığıyla sıklık 42,76 kg/m² olur; beyan edilen kapasitenin korunması için kesim ağırlığının en çok 2,30 kg olması gerekir.</w:t>
            </w:r>
          </w:p>
        </w:tc>
      </w:tr>
    </w:tbl>
    <w:p>
      <w:pPr>
        <w:spacing w:after="80"/>
      </w:pPr>
    </w:p>
    <w:p>
      <w:pPr>
        <w:spacing w:before="120" w:after="60"/>
      </w:pPr>
      <w:r>
        <w:rPr>
          <w:rFonts w:ascii="Calibri" w:hAnsi="Calibri"/>
          <w:b/>
          <w:i w:val="0"/>
          <w:color w:val="000000"/>
          <w:sz w:val="20"/>
        </w:rPr>
        <w:t>5. MALİ DEĞERLENDİRME (GELİRLER - GİDERLER)</w:t>
      </w:r>
    </w:p>
    <w:p>
      <w:pPr>
        <w:spacing w:after="60"/>
        <w:jc w:val="both"/>
      </w:pPr>
      <w:r>
        <w:rPr>
          <w:rFonts w:ascii="Calibri" w:hAnsi="Calibri"/>
          <w:b w:val="0"/>
          <w:i w:val="0"/>
          <w:color w:val="000000"/>
          <w:sz w:val="18"/>
        </w:rPr>
        <w:t>Mali değerlendirmede 10 yıllık tahminler yapılırken girdilerin birim fiyatları ve ürün satış fiyatları yıllar itibariyle sabit tutulmuştur.</w:t>
      </w:r>
    </w:p>
    <w:p>
      <w:pPr>
        <w:spacing w:before="120" w:after="60"/>
      </w:pPr>
      <w:r>
        <w:rPr>
          <w:rFonts w:ascii="Calibri" w:hAnsi="Calibri"/>
          <w:b/>
          <w:i w:val="0"/>
          <w:color w:val="000000"/>
          <w:sz w:val="20"/>
        </w:rPr>
        <w:t>5.1 İşletme Sermayesi</w:t>
      </w:r>
    </w:p>
    <w:tbl>
      <w:tblPr>
        <w:tblW w:type="auto" w:w="0"/>
        <w:jc w:val="center"/>
        <w:tblLayout w:type="fixed"/>
        <w:tblLook w:firstColumn="1" w:firstRow="1" w:lastColumn="0" w:lastRow="0" w:noHBand="0" w:noVBand="1" w:val="04A0"/>
      </w:tblPr>
      <w:tblGrid>
        <w:gridCol w:w="2195"/>
        <w:gridCol w:w="2195"/>
        <w:gridCol w:w="2195"/>
        <w:gridCol w:w="2195"/>
        <w:gridCol w:w="2195"/>
        <w:gridCol w:w="2195"/>
        <w:gridCol w:w="2195"/>
      </w:tblGrid>
      <w:tr>
        <w:tc>
          <w:tcPr>
            <w:tcW w:type="dxa" w:w="515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5.1 - Tam Kapasitede İşletme Sermayesi İhtiyacı Tablosu (TL)</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Süre (Gün)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(Sabit)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(Değişken)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(Sabit) (a)</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(Değişken) (b)</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(a+b)</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153.140,00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612.560,00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12.761,67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508.085,60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İşletme malzemesi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Tam Kapasitede Toplam İşletme Sermayesi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185.102,14</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631.296,67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r>
    </w:tbl>
    <w:p>
      <w:pPr>
        <w:spacing w:after="80"/>
      </w:pPr>
    </w:p>
    <w:p>
      <w:pPr>
        <w:spacing w:after="8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5.2 - İşletme Sermayesi Değişimi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 (A1+A2+A3+A4)</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 (B1+B2)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 (C1+C2+C3)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 (E1+E2)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İşletme malzemesi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Sermayesi İhtiyacı (A+B+C+D-E)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Sermayesindeki Değişim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5.2 Gelirler</w:t>
      </w:r>
    </w:p>
    <w:p>
      <w:pPr>
        <w:spacing w:after="60"/>
        <w:jc w:val="both"/>
      </w:pPr>
      <w:r>
        <w:rPr>
          <w:rFonts w:ascii="Calibri" w:hAnsi="Calibri"/>
          <w:b w:val="0"/>
          <w:i w:val="0"/>
          <w:color w:val="000000"/>
          <w:sz w:val="18"/>
        </w:rPr>
        <w:t>5.2.1 Satışlardan Elde Edilen Gelir</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6 - Satış Gelirleri</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(a1 x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Satış Geliri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bl>
    <w:p>
      <w:pPr>
        <w:spacing w:after="80"/>
      </w:pPr>
    </w:p>
    <w:p>
      <w:pPr>
        <w:spacing w:after="80"/>
      </w:pPr>
    </w:p>
    <w:p>
      <w:pPr>
        <w:spacing w:after="60"/>
        <w:jc w:val="both"/>
      </w:pPr>
      <w:r>
        <w:rPr>
          <w:rFonts w:ascii="Calibri" w:hAnsi="Calibri"/>
          <w:b w:val="0"/>
          <w:i w:val="0"/>
          <w:color w:val="000000"/>
          <w:sz w:val="18"/>
        </w:rPr>
        <w:t>5.2.2 Diğer Gelirler</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96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7 - Diğer Gelirler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Diğer Gelirler (Tür)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sızdırmaz depoda bekletilip tarım arazilerine bedelsiz verilecektir; gelir yazılmamıştır.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5.3 Giderler</w:t>
      </w:r>
    </w:p>
    <w:p>
      <w:pPr>
        <w:spacing w:after="60"/>
        <w:jc w:val="both"/>
      </w:pPr>
      <w:r>
        <w:rPr>
          <w:rFonts w:ascii="Calibri" w:hAnsi="Calibri"/>
          <w:b w:val="0"/>
          <w:i w:val="0"/>
          <w:color w:val="000000"/>
          <w:sz w:val="18"/>
        </w:rPr>
        <w:t>5.3.1 Tam Kapasitede Yıllık İşletme Giderleri</w:t>
      </w:r>
    </w:p>
    <w:tbl>
      <w:tblPr>
        <w:tblW w:type="auto" w:w="0"/>
        <w:jc w:val="center"/>
        <w:tblLayout w:type="fixed"/>
        <w:tblLook w:firstColumn="1" w:firstRow="1" w:lastColumn="0" w:lastRow="0" w:noHBand="0" w:noVBand="1" w:val="04A0"/>
      </w:tblPr>
      <w:tblGrid>
        <w:gridCol w:w="1920"/>
        <w:gridCol w:w="1920"/>
        <w:gridCol w:w="1920"/>
        <w:gridCol w:w="1920"/>
        <w:gridCol w:w="1920"/>
        <w:gridCol w:w="1920"/>
        <w:gridCol w:w="1920"/>
        <w:gridCol w:w="1920"/>
      </w:tblGrid>
      <w:tr>
        <w:tc>
          <w:tcPr>
            <w:tcW w:type="dxa" w:w="663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8 - Tam Kapasitede Yıllık İşletme Giderleri Tablosu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 Unsurları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Fiyat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Giderdeki Payı (%)</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44,3</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kWh</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20,5</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11,1</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 Genel Yönetim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 Beklenebilecek Farklar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 (1+2+3+4+5)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 Paz. Satış ve Dağ.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 (1+2+3+4+5+6)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2.221.225,60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1.299.560,00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2.221.225,60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1.299.560,00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5.3.2 Üretim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9 - Üretim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Giderin Türü</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Giderler (A+B+C)</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r>
    </w:tbl>
    <w:p>
      <w:pPr>
        <w:spacing w:after="80"/>
      </w:pPr>
    </w:p>
    <w:p>
      <w:pPr>
        <w:spacing w:after="80"/>
      </w:pPr>
    </w:p>
    <w:p>
      <w:pPr>
        <w:spacing w:after="60"/>
        <w:jc w:val="both"/>
      </w:pPr>
      <w:r>
        <w:rPr>
          <w:rFonts w:ascii="Calibri" w:hAnsi="Calibri"/>
          <w:b w:val="0"/>
          <w:i w:val="0"/>
          <w:color w:val="000000"/>
          <w:sz w:val="18"/>
        </w:rPr>
        <w:t>5.3.3 Toplam Amortisman Giderleri</w:t>
      </w:r>
    </w:p>
    <w:tbl>
      <w:tblPr>
        <w:tblW w:type="auto" w:w="0"/>
        <w:jc w:val="center"/>
        <w:tblLayout w:type="fixed"/>
        <w:tblLook w:firstColumn="1" w:firstRow="1" w:lastColumn="0" w:lastRow="0" w:noHBand="0" w:noVBand="1" w:val="04A0"/>
      </w:tblPr>
      <w:tblGrid>
        <w:gridCol w:w="1024"/>
        <w:gridCol w:w="1024"/>
        <w:gridCol w:w="1024"/>
        <w:gridCol w:w="1024"/>
        <w:gridCol w:w="1024"/>
        <w:gridCol w:w="1024"/>
        <w:gridCol w:w="1024"/>
        <w:gridCol w:w="1024"/>
        <w:gridCol w:w="1024"/>
        <w:gridCol w:w="1024"/>
        <w:gridCol w:w="1024"/>
        <w:gridCol w:w="1024"/>
        <w:gridCol w:w="1024"/>
        <w:gridCol w:w="1024"/>
        <w:gridCol w:w="1024"/>
      </w:tblGrid>
      <w:tr>
        <w:tc>
          <w:tcPr>
            <w:tcW w:type="dxa" w:w="21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10 - Amortisman Giderleri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Kıymetler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Satın Alma Bedeli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Kalıntı Değer</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Kapsamında Alınacak Sabit Kıymetler Amortismanı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21.641.507,25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17.313.205,75</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Teçhizat</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Demirbaşlar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Taşıtlar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(1)</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17.313.205,76</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Mevcut Durumdaki Sabit Kıymetler Amortismanı (2)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Amortisman (1+2)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17.313.205,76</w:t>
            </w:r>
          </w:p>
        </w:tc>
      </w:tr>
    </w:tbl>
    <w:p>
      <w:pPr>
        <w:spacing w:after="80"/>
      </w:pPr>
    </w:p>
    <w:p>
      <w:pPr>
        <w:spacing w:after="80"/>
      </w:pPr>
    </w:p>
    <w:p>
      <w:pPr>
        <w:spacing w:after="60"/>
        <w:jc w:val="both"/>
      </w:pPr>
      <w:r>
        <w:rPr>
          <w:rFonts w:ascii="Calibri" w:hAnsi="Calibri"/>
          <w:b w:val="0"/>
          <w:i w:val="0"/>
          <w:color w:val="000000"/>
          <w:sz w:val="18"/>
        </w:rPr>
        <w:t>5.3.4 Genel Yönetim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11 - Genel Yönetim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r>
    </w:tbl>
    <w:p>
      <w:pPr>
        <w:spacing w:after="80"/>
      </w:pPr>
    </w:p>
    <w:p>
      <w:pPr>
        <w:spacing w:after="80"/>
      </w:pPr>
    </w:p>
    <w:p>
      <w:pPr>
        <w:spacing w:after="60"/>
        <w:jc w:val="both"/>
      </w:pPr>
      <w:r>
        <w:rPr>
          <w:rFonts w:ascii="Calibri" w:hAnsi="Calibri"/>
          <w:b w:val="0"/>
          <w:i w:val="0"/>
          <w:color w:val="000000"/>
          <w:sz w:val="18"/>
        </w:rPr>
        <w:t>5.3.5 Pazarlama, Satış ve Dağıtım Giderleri</w:t>
      </w:r>
    </w:p>
    <w:p>
      <w:pPr>
        <w:spacing w:after="60"/>
        <w:jc w:val="both"/>
      </w:pPr>
      <w:r>
        <w:rPr>
          <w:rFonts w:ascii="Calibri" w:hAnsi="Calibri"/>
          <w:b w:val="0"/>
          <w:i w:val="0"/>
          <w:color w:val="000000"/>
          <w:sz w:val="18"/>
        </w:rPr>
        <w:t>Sözleşmeli üretimde canlı hayvan entegratör tarafından işletmeden teslim alınır; pazarlama, satış ve dağıtım gideri doğmaz. Tablonun bütün satırları sıfırdır.</w:t>
      </w:r>
    </w:p>
    <w:p>
      <w:pPr>
        <w:spacing w:after="4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12 - Pazarlama, Satış ve Dağıtım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Pazarlama, Satış ve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5.3.6 Mali Giderler</w:t>
      </w:r>
    </w:p>
    <w:p>
      <w:pPr>
        <w:spacing w:after="60"/>
        <w:jc w:val="both"/>
      </w:pPr>
      <w:r>
        <w:rPr>
          <w:rFonts w:ascii="Calibri" w:hAnsi="Calibri"/>
          <w:b w:val="0"/>
          <w:i w:val="0"/>
          <w:color w:val="000000"/>
          <w:sz w:val="18"/>
        </w:rPr>
        <w:t>Yatırım öz kaynakla finanse edilmektedir; banka kredisi kullanılmayacaktır. Anapara geri ödemesi, faiz ve komisyon gideri bulunmadığından tablonun bütün satırları sıfırdır.</w:t>
      </w:r>
    </w:p>
    <w:p>
      <w:pPr>
        <w:spacing w:after="40"/>
      </w:pPr>
    </w:p>
    <w:tbl>
      <w:tblPr>
        <w:tblW w:type="auto" w:w="0"/>
        <w:jc w:val="center"/>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13 - Mali Giderler (TL)</w:t>
            </w: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 Giderler</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Anapara Geri Ödemeleri (A1 + A2)</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Banka Kredisi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Diğer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 Faiz ve Komisyon Giderleri (B1+B2+B3)</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Banka Kredisi Faiz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Teminat Mektubu Komisyonları</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Faiz ve Komisyon Giderleri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before="120" w:after="60"/>
      </w:pPr>
      <w:r>
        <w:rPr>
          <w:rFonts w:ascii="Calibri" w:hAnsi="Calibri"/>
          <w:b/>
          <w:i w:val="0"/>
          <w:color w:val="000000"/>
          <w:sz w:val="20"/>
        </w:rPr>
        <w:t>6. TAHMİNİ GELİR-GİDER ve NAKİT AKIŞ TABLOSU</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14.1 - Tahmini Gelir-Gider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 Gelirler (1+2+3)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17.318.118,15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Satışlardan Elde Edilen Gelir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IPARD Destek Miktarı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 Giderler (4+5+6+7+8+9+10+11)</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 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 Pazarlama Satış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 Mali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 Beklenebilecek Farklar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 Amortismanlar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III. Vergilendirme Öncesi Kâr (I - II)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13.004.917,68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IV. Vergi İndirimi ve İstisnalar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 Vergiler [(III-IV) * % Vergi Oranı]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 Vergilendirme Sonrası Kâr (III - V)</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13.004.917,68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VII. Ödenen Temettüler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after="12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14.2 - Tahmini Nakit Akış Tablosu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Dönemi</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VIII. Nakit Girişi (12+13+14)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24.405.604,57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 Satışlardan Elde Edilen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 Diğer Gelirlerden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 Kalıntı Değer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18.129.604,57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IX. IPARD Destek Miktarı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 Özkaynaklar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20.060.106,01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 Banka Kredisi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 Diğer 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XIII. Toplam Nakit Çıkışı (15 + II)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5.129.599,28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 Toplam Yatırım Harcamaları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15.1. İşletme Sermayesindeki Değişim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15.2. Sabit Yatırım Harcaması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 Giderler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XIV. Amortismanlar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 Kredi Anapara Ödemesi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 Net Nakit Akışı (VIII+XIV+IX+X+XI+XII-XIII-XV-V-VII-14)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-10.225.719,34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12.980.933,74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 Kümülatif Net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-10.225.719,34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5.510.428,80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8.265.643,20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11.020.857,60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13.776.072,00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16.531.286,40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19.286.500,80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22.041.715,20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24.796.929,60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XVIII. Brüt Nakit Akışı (VIII+IX-XIII+XIV+9)</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12.980.933,74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20.884.818,97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XIX. İlave Brüt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12.980.933,74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20.884.818,97</w:t>
            </w:r>
          </w:p>
        </w:tc>
      </w:tr>
    </w:tbl>
    <w:p>
      <w:pPr>
        <w:spacing w:after="80"/>
      </w:pPr>
    </w:p>
    <w:p>
      <w:pPr>
        <w:sectPr>
          <w:pgSz w:w="16838" w:h="11906" w:orient="landscape"/>
          <w:pgMar w:top="850" w:right="737" w:bottom="850" w:left="737" w:header="720" w:footer="720" w:gutter="0"/>
          <w:cols w:space="720"/>
          <w:docGrid w:linePitch="360"/>
        </w:sectPr>
      </w:pPr>
    </w:p>
    <w:p>
      <w:pPr>
        <w:spacing w:after="160"/>
      </w:pPr>
    </w:p>
    <w:p>
      <w:pPr>
        <w:spacing w:after="60"/>
        <w:jc w:val="both"/>
      </w:pPr>
      <w:r>
        <w:rPr>
          <w:rFonts w:ascii="Calibri" w:hAnsi="Calibri"/>
          <w:b w:val="0"/>
          <w:i w:val="0"/>
          <w:color w:val="000000"/>
          <w:sz w:val="18"/>
        </w:rPr>
        <w:t>(Gerçek Kişiler İçin)</w:t>
      </w: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 Soyadı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Tarih</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İmza</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240"/>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IPARD desteği harcama sonrası ödendiğinden, yatırım süresince nakit ihtiyacının tamamı başvuru sahibi tarafından karşılanacaktır.</w:t>
      </w: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20.060.106,01</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60"/>
        <w:jc w:val="both"/>
      </w:pPr>
      <w:r>
        <w:rPr>
          <w:rFonts w:ascii="Calibri" w:hAnsi="Calibri"/>
          <w:b w:val="0"/>
          <w:i w:val="0"/>
          <w:color w:val="000000"/>
          <w:sz w:val="18"/>
        </w:rPr>
        <w:t>Öz kaynağın hangi kalemlerden karşılanacağı (banka mevduatı, araç ruhsatı, gayrimenkul) başvuru sahibinin belgeleriyle birlikte kesinleştirilecek; tablolar o belgelere göre doldurulacaktır.</w:t>
      </w:r>
    </w:p>
    <w:p>
      <w:pPr>
        <w:spacing w:after="120"/>
      </w:pPr>
    </w:p>
    <w:p>
      <w:pPr>
        <w:spacing w:after="60"/>
        <w:jc w:val="both"/>
      </w:pPr>
      <w:r>
        <w:rPr>
          <w:rFonts w:ascii="Calibri" w:hAnsi="Calibri"/>
          <w:b w:val="0"/>
          <w:i w:val="0"/>
          <w:color w:val="000000"/>
          <w:sz w:val="18"/>
        </w:rPr>
        <w:t>2. Banka kredisi</w:t>
      </w:r>
    </w:p>
    <w:p>
      <w:pPr>
        <w:spacing w:after="60"/>
        <w:jc w:val="both"/>
      </w:pPr>
      <w:r>
        <w:rPr>
          <w:rFonts w:ascii="Calibri" w:hAnsi="Calibri"/>
          <w:b w:val="0"/>
          <w:i w:val="0"/>
          <w:color w:val="000000"/>
          <w:sz w:val="18"/>
        </w:rPr>
        <w:t>Banka kredisi kullanılmayacaktır.</w:t>
      </w:r>
    </w:p>
    <w:p>
      <w:pPr>
        <w:spacing w:after="40"/>
      </w:pP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Banka Adı</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Kredi Miktarı (TL)</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Vade</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Faiz Oranı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Geri Ödeme Dönemleri v.d.</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r>
    </w:tbl>
    <w:p>
      <w:pPr>
        <w:spacing w:after="80"/>
      </w:pPr>
    </w:p>
    <w:p>
      <w:pPr>
        <w:spacing w:after="120"/>
      </w:pPr>
    </w:p>
    <w:p>
      <w:pPr>
        <w:spacing w:after="60"/>
        <w:jc w:val="both"/>
      </w:pPr>
      <w:r>
        <w:rPr>
          <w:rFonts w:ascii="Calibri" w:hAnsi="Calibri"/>
          <w:b w:val="0"/>
          <w:i w:val="0"/>
          <w:color w:val="000000"/>
          <w:sz w:val="18"/>
        </w:rPr>
        <w:t>3. Diğer Kaynaklar</w:t>
      </w:r>
    </w:p>
    <w:p>
      <w:pPr>
        <w:spacing w:after="60"/>
        <w:jc w:val="both"/>
      </w:pPr>
      <w:r>
        <w:rPr>
          <w:rFonts w:ascii="Calibri" w:hAnsi="Calibri"/>
          <w:b w:val="0"/>
          <w:i w:val="0"/>
          <w:color w:val="000000"/>
          <w:sz w:val="18"/>
        </w:rPr>
        <w:t>Diğer kaynak kullanılmayacaktır; tablolar şablondaki düzeniyle boş bırakılmıştır.</w:t>
      </w:r>
    </w:p>
    <w:p>
      <w:pPr>
        <w:spacing w:after="4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120"/>
      </w:pPr>
    </w:p>
    <w:p>
      <w:pPr>
        <w:spacing w:after="60"/>
        <w:jc w:val="both"/>
      </w:pPr>
      <w:r>
        <w:rPr>
          <w:rFonts w:ascii="Calibri" w:hAnsi="Calibri"/>
          <w:b w:val="0"/>
          <w:i w:val="0"/>
          <w:color w:val="000000"/>
          <w:sz w:val="18"/>
        </w:rPr>
        <w:t>EKLER: Noter onaylı imza beyannamesi · Varlıkları kanıtlayıcı belgeler (takyidatlı tapu kayıt belgesi, hesap cüzdanı fotokopisi vb.)</w:t>
      </w: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