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GÖRÜNÜRLÜK HARCAMALARI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GÖRÜNÜRLÜK HARCAMALARI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1 (bir)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Görünürlük harcaması 20.000 Avro'nun altında kaldığından bir geçerli teklif yeterlidir.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desteğiyle gerçekleştirilecek yatırımımız için, Görünürlük Rehberi'ne uygun yatırım tanıtım tabelasının hazırlanması ve yerine montajı için teklif verilmesini rica ederiz.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 edilen tabelanın </w:t>
      </w:r>
      <w:r>
        <w:rPr>
          <w:rFonts w:ascii="Calibri" w:hAnsi="Calibri"/>
          <w:b/>
          <w:i w:val="0"/>
          <w:color w:val="000000"/>
          <w:sz w:val="18"/>
        </w:rPr>
        <w:t>ölçü, malzeme ve baskı özelliklerini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gösteren teknik doküman ve görsel.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Tabela, </w:t>
      </w:r>
      <w:r>
        <w:rPr>
          <w:rFonts w:ascii="Calibri" w:hAnsi="Calibri"/>
          <w:b/>
          <w:i w:val="0"/>
          <w:color w:val="000000"/>
          <w:sz w:val="18"/>
        </w:rPr>
        <w:t>IPARD Görünürlük Rehberi</w:t>
      </w:r>
      <w:r>
        <w:rPr>
          <w:rFonts w:ascii="Calibri" w:hAnsi="Calibri"/>
          <w:b w:val="0"/>
          <w:i w:val="0"/>
          <w:color w:val="000000"/>
          <w:sz w:val="18"/>
        </w:rPr>
        <w:t>ndeki ölçü, renk, logo ve metin kurallarına birebir uygun olacaktır.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11. Avrupa Birliği ve Türkiye Cumhuriyeti amblemleri ile IPARD logosu rehberde belirtilen oran ve yerleşimde kullanılacaktır.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Fiyata </w:t>
      </w:r>
      <w:r>
        <w:rPr>
          <w:rFonts w:ascii="Calibri" w:hAnsi="Calibri"/>
          <w:b/>
          <w:i w:val="0"/>
          <w:color w:val="000000"/>
          <w:sz w:val="18"/>
        </w:rPr>
        <w:t>tasarım, üretim, nakliye ve montaj</w:t>
      </w:r>
      <w:r>
        <w:rPr>
          <w:rFonts w:ascii="Calibri" w:hAnsi="Calibri"/>
          <w:b w:val="0"/>
          <w:i w:val="0"/>
          <w:color w:val="000000"/>
          <w:sz w:val="18"/>
        </w:rPr>
        <w:t xml:space="preserve"> dâhildir.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13. Tabela dış ortam koşullarına dayanıklı malzemeden üretilecek ve en az beş yıl garantili olacaktır.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Görünürlük tabelası teknik şartnamesi (ölçü, malzeme, baskı, montaj).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IPARD Görünürlük Rehberi'ndeki tabela örneği.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