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297.965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1 - Öngörülen Organizasyon Yapısındaki Yöneticiler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2 - Öngörülen Organizasyon Yapısında Tüm Çalışanlar ve Pozisyonları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5216"/>
        <w:gridCol w:w="5216"/>
      </w:tblGrid>
      <w:tr>
        <w:tc>
          <w:tcPr>
            <w:tcW w:type="dxa" w:w="43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612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Doğrudan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Dolaylı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%70</w:t>
      </w:r>
      <w:r>
        <w:rPr>
          <w:rFonts w:ascii="Calibri" w:hAnsi="Calibri"/>
          <w:b w:val="0"/>
          <w:i w:val="0"/>
          <w:color w:val="000000"/>
          <w:sz w:val="18"/>
        </w:rPr>
        <w:t>'tir: kanatlı eti sektöründe baz oran %60; yatırım uygulama arazisi dağlık alanda olduğu ve başvurunun sunulduğu tarihte başvuru sahibi 40 yaşın altında bulunduğu için %10 ilave uygulanmıştır.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Tahmini IPARD Destek Miktarı</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15.720.192,50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297.965</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11.004.134,75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208.576</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15.720.192,50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297.965</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11.004.134,75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208.576</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3 - Toplam Yatırım Bütçesi ve Finansmanı Tablosu</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15.720.192,50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15.720.192,50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15.720.192,50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15.720.192,50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15.308.608,47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15.308.608,47</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 — görünürlük (tanıtım panosu)</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808.090,02</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808.090,02</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5.036.618,49</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5.036.618,49</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31.028.800,97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31.028.800,97</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20.024.666,22</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20.024.666,22</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11.004.134,75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11.004.134,75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11.004.134,75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11.004.134,75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31.028.800,97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31.028.800,97</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4 - Kurulu Kapasite ve Tahmini Üretim Miktarı</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(Ton, Kg, Lt, vb.)</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 = % [(B1/A1)*100]</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Mali değerlendirmede kullanılan kabuller</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5.1 - Tam Kapasitede İşletme Sermayesi İhtiyacı Tablosu (TL)</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507.380,20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185.043,35</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623.046,67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r>
    </w:tbl>
    <w:p>
      <w:pPr>
        <w:spacing w:after="80"/>
      </w:pPr>
    </w:p>
    <w:p>
      <w:pPr>
        <w:spacing w:after="8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5.2 - İşletme Sermayesi Değişimi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 (A1+A2+A3+A4)</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 (B1+B2)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 (C1+C2+C3)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236.090,02</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42.281,68</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 (E1+E2)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808.090,02</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6 - Satış Gelirleri</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 Ürün / Hizmet Adı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(a2 x b2)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 Ürün / Hizmet Adı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(a3 x b3)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7 - Diğer Gelirler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8 - Tam Kapasitede Yıllık İşletme Giderleri Tablosu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45,6</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9,7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4,6</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 Beklenebilecek Farklar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3.421.080,20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 Paz. Satış ve Dağ.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3.421.080,20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3.421.080,20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2.220.520,20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1.200.560,00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3.421.080,20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2.220.520,20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1.200.560,00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9 - Üretim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1.349.030,92</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251.830,92</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 (A+B+C)</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3.165.530,92</w:t>
            </w:r>
          </w:p>
        </w:tc>
      </w:tr>
    </w:tbl>
    <w:p>
      <w:pPr>
        <w:spacing w:after="80"/>
      </w:pPr>
    </w:p>
    <w:p>
      <w:pPr>
        <w:spacing w:after="80"/>
      </w:pPr>
    </w:p>
    <w:p>
      <w:pPr>
        <w:spacing w:after="60"/>
        <w:jc w:val="both"/>
      </w:pPr>
      <w:r>
        <w:rPr>
          <w:rFonts w:ascii="Calibri" w:hAnsi="Calibri"/>
          <w:b w:val="0"/>
          <w:i w:val="0"/>
          <w:color w:val="000000"/>
          <w:sz w:val="18"/>
        </w:rPr>
        <w:t>5.3.3 Toplam Amortisman Giderleri</w:t>
      </w:r>
    </w:p>
    <w:tbl>
      <w:tblPr>
        <w:tblW w:type="auto" w:w="0"/>
        <w:jc w:val="center"/>
        <w:tblLayout w:type="fixed"/>
        <w:tblLook w:firstColumn="1" w:firstRow="1" w:lastColumn="0" w:lastRow="0" w:noHBand="0" w:noVBand="1" w:val="04A0"/>
      </w:tblPr>
      <w:tblGrid>
        <w:gridCol w:w="1024"/>
        <w:gridCol w:w="1024"/>
        <w:gridCol w:w="1024"/>
        <w:gridCol w:w="1024"/>
        <w:gridCol w:w="1024"/>
        <w:gridCol w:w="1024"/>
        <w:gridCol w:w="1024"/>
        <w:gridCol w:w="1024"/>
        <w:gridCol w:w="1024"/>
        <w:gridCol w:w="1024"/>
        <w:gridCol w:w="1024"/>
        <w:gridCol w:w="1024"/>
        <w:gridCol w:w="1024"/>
        <w:gridCol w:w="1024"/>
        <w:gridCol w:w="1024"/>
      </w:tblGrid>
      <w:tr>
        <w:tc>
          <w:tcPr>
            <w:tcW w:type="dxa" w:w="21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10 - Amortisman Giderleri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Kıymetler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Satın Alma Bedeli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Kalıntı Değer</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Kapsamında Alınacak Sabit Kıymetler Amortismanı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4.317.449,10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21.587.245,25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17.269.796,15</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Demirbaşlar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Taşıtlar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(1)</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25.183.092,46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17.269.796,16</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Mevcut Durumdaki Sabit Kıymetler Amortismanı (2)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25.183.092,46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17.269.796,16</w:t>
            </w:r>
          </w:p>
        </w:tc>
      </w:tr>
    </w:tbl>
    <w:p>
      <w:pPr>
        <w:spacing w:after="80"/>
      </w:pPr>
    </w:p>
    <w:p>
      <w:pPr>
        <w:spacing w:after="80"/>
      </w:pPr>
    </w:p>
    <w:p>
      <w:pPr>
        <w:spacing w:after="60"/>
        <w:jc w:val="both"/>
      </w:pPr>
      <w:r>
        <w:rPr>
          <w:rFonts w:ascii="Calibri" w:hAnsi="Calibri"/>
          <w:b w:val="0"/>
          <w:i w:val="0"/>
          <w:color w:val="000000"/>
          <w:sz w:val="18"/>
        </w:rPr>
        <w:t>5.3.4 Genel Yönetim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11 - Genel Yönetim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75.549,28</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255.549,28</w:t>
            </w:r>
          </w:p>
        </w:tc>
      </w:tr>
    </w:tbl>
    <w:p>
      <w:pPr>
        <w:spacing w:after="80"/>
      </w:pPr>
    </w:p>
    <w:p>
      <w:pPr>
        <w:spacing w:after="80"/>
      </w:pPr>
    </w:p>
    <w:p>
      <w:pPr>
        <w:spacing w:after="60"/>
        <w:jc w:val="both"/>
      </w:pPr>
      <w:r>
        <w:rPr>
          <w:rFonts w:ascii="Calibri" w:hAnsi="Calibri"/>
          <w:b w:val="0"/>
          <w:i w:val="0"/>
          <w:color w:val="000000"/>
          <w:sz w:val="18"/>
        </w:rPr>
        <w:t>5.3.5 Pazarlama, Satış ve Dağıtım Giderleri</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4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12 - Pazarlama, Satış ve Dağıtım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Pazarlama, Satış ve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5.3.6 Mali Giderler</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after="40"/>
      </w:pP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13 - Mali Giderler (TL)</w:t>
            </w: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 Giderler</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Anapara Geri Ödemeleri (A1 + A2)</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Banka Kredisi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Diğer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 Faiz ve Komisyon Giderleri (B1+B2+B3)</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Banka Kredisi Faiz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Teminat Mektubu Komisyonları</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Faiz ve Komisyon Giderleri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before="120" w:after="60"/>
      </w:pPr>
      <w:r>
        <w:rPr>
          <w:rFonts w:ascii="Calibri" w:hAnsi="Calibri"/>
          <w:b/>
          <w:i w:val="0"/>
          <w:color w:val="000000"/>
          <w:sz w:val="20"/>
        </w:rPr>
        <w:t>6. TAHMİNİ GELİR-GİDER ve NAKİT AKIŞ TABLOSU</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14.1 - Tahmini Gelir-Gider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17.280.134,75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11.004.134,75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(4+5+6+7+8+9+10+11)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1.349.030,92</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255.549,28</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791.329,63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13.067.724,92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 [(III-IV) * % Vergi Oranı]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13.067.724,92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2.063.590,17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14.2 - Tahmini Nakit Akış Tablosu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Dönemi</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24.353.886,18</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18.077.886,18</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IX. IPARD Destek Miktarı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11.004.134,75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 Özkaynaklar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20.024.666,22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 Banka Kredisi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 Diğer 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30.220.710,95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5.020.499,85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4.212.409,83</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30.220.710,95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808.090,02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15.1. İşletme Sermayesindeki Değişim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808.090,02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15.2. Sabit Yatırım Harcaması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30.220.710,95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4.212.409,83</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XIV. Amortismanlar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791.329,63</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 Kredi Anapara Ödemesi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 (VIII+XIV+IX+X+XI+XII-XIII-XV-V-VII-14)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-10.196.044,73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13.050.964,53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-10.196.044,73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5.709.839,60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8.564.759,40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11.419.679,20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14.274.599,00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17.129.518,80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19.984.438,60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22.839.358,40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25.694.278,20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XVIII. Brüt Nakit Akışı (VIII+IX-XIII+XIV+9)</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-30.220.710,95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13.050.964,53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20.932.805,98</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XIX. İlave Brüt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-30.220.710,95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13.050.964,53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2.854.919,80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20.932.805,98</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20.024.666,22</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60"/>
        <w:jc w:val="both"/>
      </w:pPr>
      <w:r>
        <w:rPr>
          <w:rFonts w:ascii="Calibri" w:hAnsi="Calibri"/>
          <w:b w:val="0"/>
          <w:i w:val="0"/>
          <w:color w:val="000000"/>
          <w:sz w:val="18"/>
        </w:rPr>
        <w:t>Öz kaynağın hangi kalemlerden karşılanacağı (banka mevduatı, araç ruhsatı, gayrimenkul) başvuru sahibinin belgeleriyle birlikte kesinleştirilecek; tablolar o belgelere göre doldurulacaktır.</w:t>
      </w:r>
    </w:p>
    <w:p>
      <w:pPr>
        <w:spacing w:after="12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40"/>
      </w:pP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Banka Adı</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Kredi Miktarı (TL)</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Vade</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Faiz Oranı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Geri Ödeme Dönemleri v.d.</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r>
    </w:tbl>
    <w:p>
      <w:pPr>
        <w:spacing w:after="80"/>
      </w:pPr>
    </w:p>
    <w:p>
      <w:pPr>
        <w:spacing w:after="12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 tablolar şablondaki düzeniyle boş bırakılmıştır.</w:t>
      </w:r>
    </w:p>
    <w:p>
      <w:pPr>
        <w:spacing w:after="4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