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Başvuru Paketi İçeriği</w:t>
      </w:r>
    </w:p>
    <w:p>
      <w:pPr>
        <w:spacing w:after="60"/>
        <w:jc w:val="both"/>
      </w:pPr>
      <w:r>
        <w:rPr>
          <w:rFonts w:ascii="Calibri" w:hAnsi="Calibri"/>
          <w:b/>
          <w:i w:val="0"/>
          <w:color w:val="000000"/>
          <w:sz w:val="18"/>
        </w:rPr>
        <w:t>MUSAB EDER ÇİFTLİĞİ KANATLI (ETLİK PİLİÇ) KÜMESİ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KOCAELİ İLİ KARAMÜRSEL İLÇESİ İNEBEYLİ MAHALLESİ ADA:138 PARSEL:17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IPARD III 12. Çağrı Başvuru Çağrı Rehberi'nin (2026 - V12.0) kendi yapısına göre düzenlenmiştir. Musab Eder Çiftliği — kanatlı (etlik piliç) kümesi ve müştemilatı yapımı ile makine-ekipman alımı, gerçek kişi başvurusu.</w:t>
      </w:r>
    </w:p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ÖNCEKİ LİSTEYE GÖRE NE DEĞİŞTİ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Daha önce verilen 57 kalemlik liste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tematik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gruplanmıştı (idari · izinler · teknik proje · satın alma · iş planı · taahhütler). İçerik büyük ölçüde doğruydu; ancak rehber, paketin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Başvuru Formu Bölüm 10'daki sıraya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göre düzenlenmesini ve bu sırayı gösteren bir İçerik Tablosu konmasını zorunlu tutuyor. Yanlış sırayla ciltlenen paket teslim aşamasında kabul edilmiyor. Bu liste doğru sırayı veriyor. · 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Önceki listede hiç yer almayan belgeler: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İçerik Tablosu · A3 Uygun/Uygun Olmayan Harcamalar Detaylı Tabloları (6 tablo) · A6 Maliyetleri Gerekçelendirme Tablosu · A8 Mevcut Varlıklar Listesi · A10 Makine-Ekipman Yerleşim Planı · Tek Hat Şeması · separatörler ve iki nüsha kuralı. · 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Önceki listede yanlış olanlar: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müstahsil makbuzları “son üç yıl” değil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 bir yıl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taahhütnameler beş ayrı belge değil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tek taahhütname (A1)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“40 yaş altına sıralama puanı” değil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destek oranına +%5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; Kocaeli sıralama kriterinde puan almıyor sanılmıştı, aslında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 puan alıyor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.</w:t>
            </w:r>
          </w:p>
        </w:tc>
      </w:tr>
    </w:tbl>
    <w:p>
      <w:pPr>
        <w:spacing w:after="80"/>
      </w:pP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İÇERİK TABLOSU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Paketin en başına konur. TKDK'nın yayımladığı formata uygun olmalı; her belgenin adı ve </w:t>
      </w:r>
      <w:r>
        <w:rPr>
          <w:rFonts w:ascii="Calibri" w:hAnsi="Calibri"/>
          <w:b/>
          <w:i w:val="0"/>
          <w:color w:val="000000"/>
          <w:sz w:val="18"/>
        </w:rPr>
        <w:t>sayfa numarası</w:t>
      </w:r>
      <w:r>
        <w:rPr>
          <w:rFonts w:ascii="Calibri" w:hAnsi="Calibri"/>
          <w:b w:val="0"/>
          <w:i w:val="0"/>
          <w:color w:val="000000"/>
          <w:sz w:val="18"/>
        </w:rPr>
        <w:t xml:space="preserve"> yazılmalı; her sayfası paraflanmalı, son sayfası imzalanmalıdır. </w:t>
      </w:r>
      <w:r>
        <w:rPr>
          <w:rFonts w:ascii="Calibri" w:hAnsi="Calibri"/>
          <w:b/>
          <w:i w:val="0"/>
          <w:color w:val="000000"/>
          <w:sz w:val="18"/>
        </w:rPr>
        <w:t>Teslimde kontrol edilir — yoksa başvuru kabul edilmez.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İçerik Tablosu · Paket tamamlandığında sayfa numaralarıyla birlikte hazırlanacak.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FORMU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Online Proje Başvuru Sistemi'nde doldurulur, çıktısı alınıp imzalanır. Sistemdeki referans ve versiyon numarası ile paketteki çıktı aynı olmalıdır; farklıysa başvuru kabul edilmez.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Formu · Online sistemde doldurulur.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TAAHHÜTNAME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TKDK sitesinden indirilir, bilgisayar ortamında doldurulur, çıktısı imzalanır. Paraflanmaz.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Taahhütname · Formu TKDK sitesinden indirilecek.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A2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RESMİ BELGELER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Gerçek kişi başvurusunda aşağıdaki belgeler bu ek altında toplanır. Paraflanmaz; tahrip edilmiş, yırtılmış veya üzerinde düzeltme yapılmış belge sunulamaz.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Nüfus cüzdanı fotokopisi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Vukuatlı nüfus kayıt örneği · e-Devlet.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Noter onaylı imza beyannamesi · Gerçek kişide imza sirküleri değil, imza beyannamesi.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Adli sicil kaydı · “Resmî kurum içindir” seçilerek.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vergi borcu yoktur yazısı · Sözleşme aşamasında da borç bulunmamalıdır.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Vadesi geçmiş SGK prim borcu yoktur yazısı · Tarım Bağ-Kur (4/b) üzerinden.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Vergi mükellefiyet durum yazısı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ÇKS belgesi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Başvuru sahibinin kendi adına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olmalıdır — rehber bunu açıkça şart koşuyor.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HAYBİS / kanatlı işletme kaydı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Mesleki yeterlilik veya en az üç yıl deneyim belgesi · ÇKS/HKS kaydı ile mesleki yeterlilik ayrı kriterlerdir; ikisi de gereklidir.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Şerhli tapu kaydı · Başvuru sahibi adına olması 3. sıralama kriterinden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 puan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getirir.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İmar durum belgesi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ÇED kararı · Kocaeli Çevre ve Şehircilik İl Müdürlüğü.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Kanatlı işletmesi kuruluş izni · Kocaeli İl Tarım ve Orman Müdürlüğü.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hesap bilgileri tanımlama formu · Hesap başvuru sahibi adına.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Banka veya Tarım Kredi Kooperatifi niyet mektubu · Finansman kaynağına ilişkin tüm kanıtlayıcı belgeler başvuru aşamasında sunulmalıdır; yetersizse Kurum projeyi reddedebilir.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Lisanssız elektrik üreticileri için dağıtım sistemine bağlantı anlaşması · Yatırımda yenilenebilir enerji üretimi bulunmadığından GEREKMİYOR.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GEREKSİZ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A3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UYGUN / UYGUN OLMAYAN HARCAMALAR DETAYLI TABLOLARI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A3.1.1, A3.1.2, A3.2, A3.3, A3.4 ve A3.5 tablolarından oluşur. Online sistemde doldurulur, çıktısı alınır ve </w:t>
      </w:r>
      <w:r>
        <w:rPr>
          <w:rFonts w:ascii="Calibri" w:hAnsi="Calibri"/>
          <w:b/>
          <w:i w:val="0"/>
          <w:color w:val="000000"/>
          <w:sz w:val="18"/>
        </w:rPr>
        <w:t>imzalanır</w:t>
      </w:r>
      <w:r>
        <w:rPr>
          <w:rFonts w:ascii="Calibri" w:hAnsi="Calibri"/>
          <w:b w:val="0"/>
          <w:i w:val="0"/>
          <w:color w:val="000000"/>
          <w:sz w:val="18"/>
        </w:rPr>
        <w:t>. Sistemdeki tablo ile paketteki çıktı birebir aynı olmalıdır; farklıysa başvuru kabul edilmez.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A3.1.1 · A3.1.2 · A3.2 · A3.3 · A3.4 · A3.5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21_A3_UYGUN_HARCAMALAR.xlsx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hazır: A3.1.1'de 82 yapım işleri kalemi, A3.1.2'de 9 ekipman kalemi, A3.4'te uygun olmayan harcama, A3.5'te formüllü icmal. Online sisteme buradan girilecek.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A4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SEÇİLEN TEKLİFLER VE EKLERİ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Paraflanmaz. Yapım işleri ve makine-ekipman için ayrı ayrı.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seçilen teklifi · Teklif toplanacak. Kalem ve miktarlar 37 numaralı fiyatsız istek listesindedir; liste kümes mekanik ekipmanı ile ısıtma sistemini birlikte taşır.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seçilen teklifi · Teklif davet mektubu (16), 8 keşif özeti, teknik şartname, mahal listesi ve metraj cetvelleri hazır; teklif toplanacak.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davet mektupları — yapım, makine-ekipman, hizmet, görünürlük · 16, 17, 18 ve 19 numaralı belgeler. Rehber 6.1.1'in aradığı dokuz husus eksiksiz; başvuru sahibince imzalanıp paraflanacak.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Teklif değerlendirme tutanağı · 20 numaralı belge. Rehber 6.1.6'daki sekiz kontrol, karşılaştırma tablosu, seçim gerekçesi ve çıkar ilişkisi beyanı.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A5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SEÇİLMEYEN TEKLİFLER VE EKLERİ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Reddedilen teklifler de pakette bulunmak zorundadır; eksikse satın alma geçersiz sayılır. Paraflanmaz.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Seçilmeyen teklifler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A6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MALİYETLERİ GEREKÇELENDİRME TABLOSU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TKDK sitesinden indirilir, bilgisayarda doldurulur, çıktısı </w:t>
      </w:r>
      <w:r>
        <w:rPr>
          <w:rFonts w:ascii="Calibri" w:hAnsi="Calibri"/>
          <w:b/>
          <w:i w:val="0"/>
          <w:color w:val="000000"/>
          <w:sz w:val="18"/>
        </w:rPr>
        <w:t>imzalanır</w:t>
      </w:r>
      <w:r>
        <w:rPr>
          <w:rFonts w:ascii="Calibri" w:hAnsi="Calibri"/>
          <w:b w:val="0"/>
          <w:i w:val="0"/>
          <w:color w:val="000000"/>
          <w:sz w:val="18"/>
        </w:rPr>
        <w:t xml:space="preserve">. Bir harcama kalemi için </w:t>
      </w:r>
      <w:r>
        <w:rPr>
          <w:rFonts w:ascii="Calibri" w:hAnsi="Calibri"/>
          <w:b/>
          <w:i w:val="0"/>
          <w:color w:val="000000"/>
          <w:sz w:val="18"/>
        </w:rPr>
        <w:t>tek teklif</w:t>
      </w:r>
      <w:r>
        <w:rPr>
          <w:rFonts w:ascii="Calibri" w:hAnsi="Calibri"/>
          <w:b w:val="0"/>
          <w:i w:val="0"/>
          <w:color w:val="000000"/>
          <w:sz w:val="18"/>
        </w:rPr>
        <w:t xml:space="preserve"> alınmışsa o kalem için bu belge gerekmez.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Maliyetleri Gerekçelendirme Tablosu · Teklifler tamamlandığında hazırlanacak.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A7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YASAL MALİ TABLOLAR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Gerçek kişide bilanço ve gelir tablosu yerine müstahsil makbuzları kullanılır.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Müstahsil makbuzları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Yalnızca paketin Kuruma sunum tarihinden önceki 1 YIL içinde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alınmış makbuzlar değerlendirmeye alınır. İş planı mevcut durum analizinden puan almak için önemlidir; teslimden sonra sunulanlar dikkate alınmaz.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A8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MEVCUT VARLIKLAR LİSTESİ TABLOSU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Online sistemde doldurulur, çıktısı alınır ve </w:t>
      </w:r>
      <w:r>
        <w:rPr>
          <w:rFonts w:ascii="Calibri" w:hAnsi="Calibri"/>
          <w:b/>
          <w:i w:val="0"/>
          <w:color w:val="000000"/>
          <w:sz w:val="18"/>
        </w:rPr>
        <w:t>imzalanır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Mevcut Varlıklar Listesi (A8) · İşletmenin mevcut arazi, bina, makine ve hayvan varlığı yazılacak.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A9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PROJELER, METRAJ CETVELİ VE TEK HAT ŞEMASI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Mimari, statik, elektrik tesisat ve mekanik tesisat projeleri ile metraj cetveli ve tek hat şeması. Paraflanmaz ve </w:t>
      </w:r>
      <w:r>
        <w:rPr>
          <w:rFonts w:ascii="Calibri" w:hAnsi="Calibri"/>
          <w:b/>
          <w:i w:val="0"/>
          <w:color w:val="000000"/>
          <w:sz w:val="18"/>
        </w:rPr>
        <w:t>numaralandırılmaz</w:t>
      </w:r>
      <w:r>
        <w:rPr>
          <w:rFonts w:ascii="Calibri" w:hAnsi="Calibri"/>
          <w:b w:val="0"/>
          <w:i w:val="0"/>
          <w:color w:val="000000"/>
          <w:sz w:val="18"/>
        </w:rPr>
        <w:t>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Mimari proje · Mevcut; ruhsat onaylı nüsha konacak.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Statik proje (betonarme) · Mevcut; temel ve METRAJ tablosu kullanılmıştır.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Statik proje (çelik) ve hesap raporu · Mevcut. Metrajdaki 88,096 ton profil kesitleri ve boyları bu projeden ölçülerek bulunmuştur.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Elektrik tesisat projesi · Mevcut.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Mekanik tesisat projesi · Mevcut.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Metraj cetveli · Yapı bazında; ağırlık cinsinden ayrı cetvel dâhil.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 hat şeması · Elektrik projesinde ayrı pafta olarak istenir; kümes ölçüsü değiştiğinden yeniden çizilmesi gerekir.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A10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MAKİNE-EKİPMAN YERLEŞİM PLANI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Paraflanmaz ve numaralandırılmaz. Satın alınacak her makine ve ekipmanın kümes içindeki yerini gösterir.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Makine-ekipman yerleşim planı · Yemleme ve sulama hatları, fanlar, klapeler, ped sistemi, silo ve kontrol panosunun yerleşimi. Mimari plan üzerine çizilecek.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A11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YAPI RUHSATI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Paraflanmaz.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Yapı ruhsatı — kümes A, kümes B ve müştemilat ·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Onay tarihi çağrı kapanış tarihinden ÖNCE olmalıdır.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Sonraysa başvuru uygun değerlendirilmez ve düzeltme hakkı yoktur. Foseptik, istinat ve bahçe duvarı ruhsatları sonradan sunulabilir.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İŞ PLANI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Başvuru formu ve eklerinden sonra gelir; ayrıca 1'den başlayarak numaralandırılır. İlgili yerleri imzalanır.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B2 İş Planı · Toplam uygun harcama 180.000 Avro'nun üzerinde olduğu için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B2 zorunludur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. B1 veya B3 sunulursa proje reddedilir.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Sözleşmeli üretim sözleşmesi (entegratör) · İş planındaki pazarlama ve gelir öngörüsünün dayanağı.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TEMİN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9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9450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TEKNİK PROJE</w:t>
            </w:r>
          </w:p>
        </w:tc>
      </w:tr>
    </w:tbl>
    <w:p>
      <w:pPr>
        <w:spacing w:after="80"/>
      </w:pPr>
    </w:p>
    <w:p>
      <w:pPr>
        <w:spacing w:after="4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>İş planından sonra gelir; ayrıca 1'den başlayarak numaralandırılır. Teknik Proje Hazırlama Rehberi'ne uygun olmalıdır.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7"/>
        <w:gridCol w:w="3477"/>
        <w:gridCol w:w="3477"/>
      </w:tblGrid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Teknik proje açıklama raporu · Kapak, içindekiler ve açıklama raporu hazır.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Mahal listesi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Keşif özeti · EK-1 uygun harcama kalemlerine göre gruplu. Elektrik başlığı, kuvvetli akım birim fiyat listesi gelince tamamlanacak.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Yapım işleri teknik şartnamesi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Makine ve ekipman teknik şartnamesi · 12. çağrı uygun harcama listesindeki minimum teknik özellik başlıklarına çevrilecek.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Yaklaşık maliyet cetveli · ÇŞB pozlarına %16 tenzilat uygulanmış hâli.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Pursantaj tablosu · Yapı, iş kalemi ve EK-1 başlığı bazında yüzde ağırlıklar.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HAZIR</w:t>
            </w:r>
          </w:p>
        </w:tc>
      </w:tr>
      <w:tr>
        <w:tc>
          <w:tcPr>
            <w:tcW w:type="dxa" w:w="3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883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Zemin etüdü raporu · Yok.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EKSİK</w:t>
            </w:r>
          </w:p>
        </w:tc>
      </w:tr>
    </w:tbl>
    <w:p>
      <w:pPr>
        <w:spacing w:after="80"/>
      </w:pPr>
    </w:p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PAKETİN FİZİKSEL HAZIRLANMASI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•  Paket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iki nüsha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hazırlanır: bir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orijinal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, bir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kopya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. Her nüsha ayrı bir klasöre konur, ikisi tek bir paket içinde teslim edilir. Klasörsüz sunulan başvuru kabul edilmez. · •  Paketin üzerine “IPARD Programı Başvuru Paketi” ve “Kanatlı Eti Sektörü Kapsamında Proje Başvurusu” yazılır. · •  Başvuru formu, ekleri, iş planı ve teknik projeyi birbirinden ayıran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separatörler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her Ek'in arasına yerleştirilir. Separatörsüz paket kabul edilmez. · •  Bütün sayfalar (çizimler hariç) Başvuru Formu Bölüm 10'daki sıraya göre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numaralandırılır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. İş planı ve teknik proje ayrıca 1'den başlayarak numaralandırılır. A9 ve A10 numaralandırılmaz.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İmzalanacaklar: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Başvuru Formu, Taahhütname (A1), A3 tabloları, Maliyetleri Gerekçelendirme Tablosu (A6), Mevcut Varlıklar Listesi (A8), iş planı ve teknik projenin ilgili yerleri. İmza atılmayan diğer tüm sayfalar paraflanır. · • 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Paraflanmayacaklar: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A1, A2, A4, A5, A7, A9, A10, A11. · •  Paket, yatırımın yapılacağı ildeki TKDK İl Koordinatörlüğüne veya İl İrtibat Ofisine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elden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teslim edilir. · •  İçinde Başvuru Formu, seçilen ve seçilmeyen teklifler, iş planı ve teknik proje bulunmayan paketler teslim alınmaz.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jc w:val="center"/>
      </w:pPr>
      <w:r>
        <w:rPr>
          <w:rFonts w:ascii="Calibri" w:hAnsi="Calibri"/>
          <w:b/>
          <w:i w:val="0"/>
          <w:color w:val="000000"/>
          <w:sz w:val="24"/>
        </w:rPr>
        <w:t>Sıralama kriterlerine göre tahmini puan</w:t>
      </w: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Rehberin 8.2 bölümündeki tabloya göre. Çağrı bütçesinin üzerinde başvuru gelirse TKDK ön sıralamaya göre inceleyeceği projeleri belirliyor; düşük puanlı projeler için ret yazısı bile yazılmıyor. </w:t>
      </w:r>
      <w:r>
        <w:rPr>
          <w:rFonts w:ascii="Calibri" w:hAnsi="Calibri"/>
          <w:b/>
          <w:i w:val="0"/>
          <w:color w:val="000000"/>
          <w:sz w:val="18"/>
        </w:rPr>
        <w:t>Başvuru tarihinden sonra kriteri sağlayacak değişiklik yapılamaz.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2608"/>
        <w:gridCol w:w="2608"/>
      </w:tblGrid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Kriter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Alınan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Azami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Toplam uygun harcama tutarı — broyler: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297.965 Avro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, 300.000 Avro'dan az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Organik tarım sertifikası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Yatırım uygulama alanının sahibi (tapu başvuru sahibi adına)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Yatırım alanı, IPARD III'te destek kapsamına alınan yeni illerde —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Kocaeli bu listede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IPARD kapsamında imzalanmış sözleşme yok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 kadın veya %40-59 ortopedik engellilik oranına sahip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7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Başvuru sahibinin statüsü — gerçek kişi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Yatırım yenilenebilir enerji üretimini içeriyor —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yatırımda yenilenebilir enerji yok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c>
          <w:tcPr>
            <w:tcW w:type="dxa" w:w="6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</w:p>
        </w:tc>
        <w:tc>
          <w:tcPr>
            <w:tcW w:type="dxa" w:w="736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TOPLAM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122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100</w:t>
            </w:r>
          </w:p>
        </w:tc>
      </w:tr>
    </w:tbl>
    <w:p>
      <w:pPr>
        <w:spacing w:after="80"/>
      </w:pPr>
    </w:p>
    <w:p>
      <w:pPr>
        <w:spacing w:after="6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8"/>
        </w:rPr>
        <w:t xml:space="preserve">1. kriter kademelidir: toplam uygun harcama 300.000 Avro'nun altına çekilirse 5, 250.000'in altına 10, 200.000'in altına 15 puan gelir. Hibe kapsamı bu kademeye girecek biçimde daraltılmıştır: uygun harcamaya yalnızca </w:t>
      </w:r>
      <w:r>
        <w:rPr>
          <w:rFonts w:ascii="Calibri" w:hAnsi="Calibri"/>
          <w:b/>
          <w:i w:val="0"/>
          <w:color w:val="000000"/>
          <w:sz w:val="18"/>
        </w:rPr>
        <w:t>Kümes A ve B blokları</w:t>
      </w:r>
      <w:r>
        <w:rPr>
          <w:rFonts w:ascii="Calibri" w:hAnsi="Calibri"/>
          <w:b w:val="0"/>
          <w:i w:val="0"/>
          <w:color w:val="000000"/>
          <w:sz w:val="18"/>
        </w:rPr>
        <w:t xml:space="preserve"> girer, onlardan da sandviç panel çatı-cephe kaplaması ile otomatik transfer şalteri çıkarılmıştır. Uygun harcama </w:t>
      </w:r>
      <w:r>
        <w:rPr>
          <w:rFonts w:ascii="Calibri" w:hAnsi="Calibri"/>
          <w:b/>
          <w:i w:val="0"/>
          <w:color w:val="000000"/>
          <w:sz w:val="18"/>
        </w:rPr>
        <w:t>15.720.192,50 TL = 297.965 Avro</w:t>
      </w:r>
      <w:r>
        <w:rPr>
          <w:rFonts w:ascii="Calibri" w:hAnsi="Calibri"/>
          <w:b w:val="0"/>
          <w:i w:val="0"/>
          <w:color w:val="000000"/>
          <w:sz w:val="18"/>
        </w:rPr>
        <w:t xml:space="preserve">'dur; 300.000 Avro kademesinin altında kaldığından </w:t>
      </w:r>
      <w:r>
        <w:rPr>
          <w:rFonts w:ascii="Calibri" w:hAnsi="Calibri"/>
          <w:b/>
          <w:i w:val="0"/>
          <w:color w:val="000000"/>
          <w:sz w:val="18"/>
        </w:rPr>
        <w:t>5 puan</w:t>
      </w:r>
      <w:r>
        <w:rPr>
          <w:rFonts w:ascii="Calibri" w:hAnsi="Calibri"/>
          <w:b w:val="0"/>
          <w:i w:val="0"/>
          <w:color w:val="000000"/>
          <w:sz w:val="18"/>
        </w:rPr>
        <w:t xml:space="preserve"> gelir. Eşiğe kalan pay 2.035 Avro'dur. Yatırımın geri kalanı — diğer 7 yapı, çıkarılan pozlar ve makine-ekipman alımı, toplam 9.651.341,21 TL (182.934 Avro) — yapılmaya devam eder; uygun olmayan harcama olarak proforma fatura ile beyan edilir ve öz kaynaktan karşılanır.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EŞİĞE KALAN PAY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Uygun harcama 297.965 Avro, eşik 300.000 Avro: arada 2.035 Avro (%0,7) pay vardır. TKDK, keşfi kendi birim fiyatlarıyla yeniden hesaplar; kur da başvuru tarihinde güncellenir. Bu iki etkiden biri tutarı yukarı taşırsa kademe kaybedilir ve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sonradan düzeltme yapılamaz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— teslimden sonra kriteri sağlayacak değişiklik kabul edilmez. Pay bu yüzden geniş tutulmuştur.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UYGUN HARCAMA ÜST LİMİTİ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Broyler yatırımlarında uygun harcama üst limiti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375.000 Avro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'dur (19.784.437,50 TL). Uygun harcama 297.965 Avro olduğundan üst limit bu yatırımda bağlayıcı değildir; hibe, uygun harcamanın tamamı üzerinden hesaplanır.</w:t>
            </w:r>
          </w:p>
        </w:tc>
      </w:tr>
    </w:tbl>
    <w:p>
      <w:pPr>
        <w:spacing w:after="80"/>
      </w:pPr>
    </w:p>
    <w:p>
      <w:pPr>
        <w:spacing w:after="1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32"/>
      </w:tblGrid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TAKVİMİ BELİRLEYEN TARİH</w:t>
            </w:r>
          </w:p>
        </w:tc>
      </w:tr>
      <w:tr>
        <w:tc>
          <w:tcPr>
            <w:tcW w:type="dxa" w:w="1043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Yapı ruhsatının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onay tarihi </w:t>
            </w: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çağrı kapanış (son başvuru teslim) tarihinden önce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olmak zorundadır. Sonra alınırsa başvuru uygun değerlendirilmez ve bu, eksik evrak sürecinde düzeltilemez. Diğer bütün evraklar bu tarihe göre planlanmalıdır.</w:t>
            </w:r>
          </w:p>
        </w:tc>
      </w:tr>
    </w:tbl>
    <w:p>
      <w:pPr>
        <w:spacing w:after="80"/>
      </w:pPr>
    </w:p>
    <w:p>
      <w:pPr>
        <w:spacing w:after="10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000000"/>
          <w:sz w:val="15"/>
        </w:rPr>
        <w:t>Kaynak: IPARD III 12. Çağrı Başvuru Çağrı Rehberi (2026 - V12.0), Bölüm 6 ve 7 ile 101.3 Uygun Harcamalar Listesi (30.06.2026). Ayrıntılı belge açıklamaları için TKDK'nın “Başvuru Paketi İçeriği” kitapçığına da bakılmalıdır.</w:t>
        <w:br/>
        <w:t>MAHMUT TARI MAFREN MÜHENDİSLİK DANIŞMANLIK HİZMETLERİ · Ticaret sicil no Gölcük/6196 · Mersis 4943840532200001 · Tel 0541 553 66 86 · mahmuttari@gmail.com · 26.08.2026</w:t>
      </w:r>
    </w:p>
    <w:sectPr w:rsidR="00FC693F" w:rsidRPr="0006063C" w:rsidSect="00034616">
      <w:footerReference w:type="default" r:id="rId9"/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6"/>
      </w:rPr>
    </w:r>
    <w:fldSimple w:instr=" PAGE 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