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454C5B35" w:rsidR="007A6CC6" w:rsidRDefault="00BC7532" w:rsidP="004D7C43">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74202F">
        <w:rPr>
          <w:rFonts w:asciiTheme="majorBidi" w:hAnsiTheme="majorBidi" w:cstheme="majorBidi"/>
          <w:sz w:val="24"/>
          <w:szCs w:val="24"/>
        </w:rPr>
        <w:t xml:space="preserve">Other biological functions reported for mobile mRNAs are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bookmarkStart w:id="0" w:name="_GoBack"/>
      <w:bookmarkEnd w:id="0"/>
      <w:r w:rsidR="00DA7675">
        <w:rPr>
          <w:rFonts w:asciiTheme="majorBidi" w:hAnsiTheme="majorBidi" w:cstheme="majorBidi"/>
          <w:sz w:val="24"/>
          <w:szCs w:val="24"/>
        </w:rPr>
        <w:t xml:space="preserve"> </w:t>
      </w:r>
    </w:p>
    <w:p w14:paraId="3BB54A6C" w14:textId="48F00F71"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p>
    <w:p w14:paraId="6CAA119D" w14:textId="77777777" w:rsidR="00B512DD" w:rsidRDefault="00B512DD" w:rsidP="004D7C43">
      <w:pPr>
        <w:jc w:val="both"/>
        <w:rPr>
          <w:rFonts w:asciiTheme="majorBidi" w:hAnsiTheme="majorBidi" w:cstheme="majorBidi"/>
          <w:sz w:val="24"/>
          <w:szCs w:val="24"/>
        </w:rPr>
      </w:pP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21E7351A" w14:textId="77777777" w:rsidR="0074202F" w:rsidRPr="0074202F" w:rsidRDefault="00530443" w:rsidP="0074202F">
      <w:pPr>
        <w:pStyle w:val="EndNoteBibliography"/>
        <w:spacing w:after="0"/>
        <w:ind w:left="720" w:hanging="720"/>
      </w:pPr>
      <w:r>
        <w:rPr>
          <w:rFonts w:asciiTheme="majorBidi" w:hAnsiTheme="majorBidi" w:cstheme="majorBidi"/>
          <w:sz w:val="24"/>
          <w:szCs w:val="24"/>
        </w:rPr>
        <w:lastRenderedPageBreak/>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74202F" w:rsidRPr="0074202F">
        <w:t xml:space="preserve">Corbesier, L., Vincent, C., Jang, S., Fornara, F., Fan, Q., Searle, I., Giakountis, A., Farrona, S., Gissot, L., &amp; Turnbull, C. (2007). FT protein movement contributes to long-distance signaling in floral induction of Arabidopsis. </w:t>
      </w:r>
      <w:r w:rsidR="0074202F" w:rsidRPr="0074202F">
        <w:rPr>
          <w:i/>
        </w:rPr>
        <w:t>science</w:t>
      </w:r>
      <w:r w:rsidR="0074202F" w:rsidRPr="0074202F">
        <w:t>,</w:t>
      </w:r>
      <w:r w:rsidR="0074202F" w:rsidRPr="0074202F">
        <w:rPr>
          <w:i/>
        </w:rPr>
        <w:t xml:space="preserve"> 316</w:t>
      </w:r>
      <w:r w:rsidR="0074202F" w:rsidRPr="0074202F">
        <w:t xml:space="preserve">(5827), 1030-1033. </w:t>
      </w:r>
    </w:p>
    <w:p w14:paraId="466A96A0" w14:textId="77777777" w:rsidR="0074202F" w:rsidRPr="0074202F" w:rsidRDefault="0074202F" w:rsidP="0074202F">
      <w:pPr>
        <w:pStyle w:val="EndNoteBibliography"/>
        <w:spacing w:after="0"/>
        <w:ind w:left="720" w:hanging="720"/>
      </w:pPr>
      <w:r w:rsidRPr="0074202F">
        <w:t xml:space="preserve">Ghate, T. H., Sharma, P., Kondhare, K. R., Hannapel, D. J., &amp; Banerjee, A. K. (2017). The mobile RNAs, StBEL11 and StBEL29, suppress growth of tubers in potato. </w:t>
      </w:r>
      <w:r w:rsidRPr="0074202F">
        <w:rPr>
          <w:i/>
        </w:rPr>
        <w:t>Plant molecular biology</w:t>
      </w:r>
      <w:r w:rsidRPr="0074202F">
        <w:t>,</w:t>
      </w:r>
      <w:r w:rsidRPr="0074202F">
        <w:rPr>
          <w:i/>
        </w:rPr>
        <w:t xml:space="preserve"> 93</w:t>
      </w:r>
      <w:r w:rsidRPr="0074202F">
        <w:t xml:space="preserve">, 563-578. </w:t>
      </w:r>
    </w:p>
    <w:p w14:paraId="7849FCFE" w14:textId="77777777" w:rsidR="0074202F" w:rsidRPr="0074202F" w:rsidRDefault="0074202F" w:rsidP="0074202F">
      <w:pPr>
        <w:pStyle w:val="EndNoteBibliography"/>
        <w:spacing w:after="0"/>
        <w:ind w:left="720" w:hanging="720"/>
      </w:pPr>
      <w:r w:rsidRPr="0074202F">
        <w:t xml:space="preserve">Hannapel, D. J., &amp; Banerjee, A. K. (2017). Multiple mobile mRNA signals regulate tuber development in potato. </w:t>
      </w:r>
      <w:r w:rsidRPr="0074202F">
        <w:rPr>
          <w:i/>
        </w:rPr>
        <w:t>Plants</w:t>
      </w:r>
      <w:r w:rsidRPr="0074202F">
        <w:t>,</w:t>
      </w:r>
      <w:r w:rsidRPr="0074202F">
        <w:rPr>
          <w:i/>
        </w:rPr>
        <w:t xml:space="preserve"> 6</w:t>
      </w:r>
      <w:r w:rsidRPr="0074202F">
        <w:t xml:space="preserve">(1), 8. </w:t>
      </w:r>
    </w:p>
    <w:p w14:paraId="51BEDCD9" w14:textId="77777777" w:rsidR="0074202F" w:rsidRPr="0074202F" w:rsidRDefault="0074202F" w:rsidP="0074202F">
      <w:pPr>
        <w:pStyle w:val="EndNoteBibliography"/>
        <w:spacing w:after="0"/>
        <w:ind w:left="720" w:hanging="720"/>
      </w:pPr>
      <w:r w:rsidRPr="0074202F">
        <w:t xml:space="preserve">Haywood, V., Yu, T. S., Huang, N. C., &amp; Lucas, W. J. (2005). Phloem long‐distance trafficking of GIBBERELLIC ACID‐INSENSITIVE RNA regulates leaf development. </w:t>
      </w:r>
      <w:r w:rsidRPr="0074202F">
        <w:rPr>
          <w:i/>
        </w:rPr>
        <w:t>The Plant Journal</w:t>
      </w:r>
      <w:r w:rsidRPr="0074202F">
        <w:t>,</w:t>
      </w:r>
      <w:r w:rsidRPr="0074202F">
        <w:rPr>
          <w:i/>
        </w:rPr>
        <w:t xml:space="preserve"> 42</w:t>
      </w:r>
      <w:r w:rsidRPr="0074202F">
        <w:t xml:space="preserve">(1), 49-68. </w:t>
      </w:r>
    </w:p>
    <w:p w14:paraId="726C33B0" w14:textId="77777777" w:rsidR="0074202F" w:rsidRPr="0074202F" w:rsidRDefault="0074202F" w:rsidP="0074202F">
      <w:pPr>
        <w:pStyle w:val="EndNoteBibliography"/>
        <w:spacing w:after="0"/>
        <w:ind w:left="720" w:hanging="720"/>
      </w:pPr>
      <w:r w:rsidRPr="0074202F">
        <w:t xml:space="preserve">Huang, N. C., Jane, W. N., Chen, J., &amp; Yu, T. S. (2012). Arabidopsis thaliana CENTRORADIALIS homologue (ATC) acts systemically to inhibit floral initiation in Arabidopsis. </w:t>
      </w:r>
      <w:r w:rsidRPr="0074202F">
        <w:rPr>
          <w:i/>
        </w:rPr>
        <w:t>The Plant Journal</w:t>
      </w:r>
      <w:r w:rsidRPr="0074202F">
        <w:t>,</w:t>
      </w:r>
      <w:r w:rsidRPr="0074202F">
        <w:rPr>
          <w:i/>
        </w:rPr>
        <w:t xml:space="preserve"> 72</w:t>
      </w:r>
      <w:r w:rsidRPr="0074202F">
        <w:t xml:space="preserve">(2), 175-184. </w:t>
      </w:r>
    </w:p>
    <w:p w14:paraId="07A46972" w14:textId="77777777" w:rsidR="0074202F" w:rsidRPr="0074202F" w:rsidRDefault="0074202F" w:rsidP="0074202F">
      <w:pPr>
        <w:pStyle w:val="EndNoteBibliography"/>
        <w:spacing w:after="0"/>
        <w:ind w:left="720" w:hanging="720"/>
      </w:pPr>
      <w:r w:rsidRPr="0074202F">
        <w:t xml:space="preserve">Kondhare, K. R., Patil, N. S., &amp; Banerjee, A. K. (2021). A historical overview of long-distance signalling in plants. </w:t>
      </w:r>
      <w:r w:rsidRPr="0074202F">
        <w:rPr>
          <w:i/>
        </w:rPr>
        <w:t>Journal of experimental Botany</w:t>
      </w:r>
      <w:r w:rsidRPr="0074202F">
        <w:t>,</w:t>
      </w:r>
      <w:r w:rsidRPr="0074202F">
        <w:rPr>
          <w:i/>
        </w:rPr>
        <w:t xml:space="preserve"> 72</w:t>
      </w:r>
      <w:r w:rsidRPr="0074202F">
        <w:t xml:space="preserve">(12), 4218-4236. </w:t>
      </w:r>
    </w:p>
    <w:p w14:paraId="1538FF0B" w14:textId="77777777" w:rsidR="0074202F" w:rsidRPr="0074202F" w:rsidRDefault="0074202F" w:rsidP="0074202F">
      <w:pPr>
        <w:pStyle w:val="EndNoteBibliography"/>
        <w:spacing w:after="0"/>
        <w:ind w:left="720" w:hanging="720"/>
      </w:pPr>
      <w:r w:rsidRPr="0074202F">
        <w:t xml:space="preserve">Li, W., Chen, S., Liu, Y., Wang, L., Jiang, J., Zhao, S., Fang, W., Chen, F., &amp; Guan, Z. (2022). Long-distance transport RNAs between rootstocks and scions and graft hybridization. </w:t>
      </w:r>
      <w:r w:rsidRPr="0074202F">
        <w:rPr>
          <w:i/>
        </w:rPr>
        <w:t>Planta</w:t>
      </w:r>
      <w:r w:rsidRPr="0074202F">
        <w:t>,</w:t>
      </w:r>
      <w:r w:rsidRPr="0074202F">
        <w:rPr>
          <w:i/>
        </w:rPr>
        <w:t xml:space="preserve"> 255</w:t>
      </w:r>
      <w:r w:rsidRPr="0074202F">
        <w:t xml:space="preserve">(5), 96. </w:t>
      </w:r>
    </w:p>
    <w:p w14:paraId="357D3E9D" w14:textId="77777777" w:rsidR="0074202F" w:rsidRPr="0074202F" w:rsidRDefault="0074202F" w:rsidP="0074202F">
      <w:pPr>
        <w:pStyle w:val="EndNoteBibliography"/>
        <w:spacing w:after="0"/>
        <w:ind w:left="720" w:hanging="720"/>
      </w:pPr>
      <w:r w:rsidRPr="0074202F">
        <w:t xml:space="preserve">Petty, I., French, R., Jones, R., &amp; Jackson, A. (1990). Identification of barley stripe mosaic virus genes involved in viral RNA replication and systemic movement. </w:t>
      </w:r>
      <w:r w:rsidRPr="0074202F">
        <w:rPr>
          <w:i/>
        </w:rPr>
        <w:t>The EMBO journal</w:t>
      </w:r>
      <w:r w:rsidRPr="0074202F">
        <w:t>,</w:t>
      </w:r>
      <w:r w:rsidRPr="0074202F">
        <w:rPr>
          <w:i/>
        </w:rPr>
        <w:t xml:space="preserve"> 9</w:t>
      </w:r>
      <w:r w:rsidRPr="0074202F">
        <w:t xml:space="preserve">(11), 3453-3457. </w:t>
      </w:r>
    </w:p>
    <w:p w14:paraId="1633EBE0" w14:textId="77777777" w:rsidR="0074202F" w:rsidRPr="0074202F" w:rsidRDefault="0074202F" w:rsidP="0074202F">
      <w:pPr>
        <w:pStyle w:val="EndNoteBibliography"/>
        <w:spacing w:after="0"/>
        <w:ind w:left="720" w:hanging="720"/>
      </w:pPr>
      <w:r w:rsidRPr="0074202F">
        <w:t xml:space="preserve">Ryabov, E. V., Robinson, D. J., &amp; Taliansky, M. E. (1999). A plant virus-encoded protein facilitates long-distance movement of heterologous viral RNA. </w:t>
      </w:r>
      <w:r w:rsidRPr="0074202F">
        <w:rPr>
          <w:i/>
        </w:rPr>
        <w:t>Proceedings of the National Academy of Sciences</w:t>
      </w:r>
      <w:r w:rsidRPr="0074202F">
        <w:t>,</w:t>
      </w:r>
      <w:r w:rsidRPr="0074202F">
        <w:rPr>
          <w:i/>
        </w:rPr>
        <w:t xml:space="preserve"> 96</w:t>
      </w:r>
      <w:r w:rsidRPr="0074202F">
        <w:t xml:space="preserve">(4), 1212-1217. </w:t>
      </w:r>
    </w:p>
    <w:p w14:paraId="239D9256" w14:textId="77777777" w:rsidR="0074202F" w:rsidRPr="0074202F" w:rsidRDefault="0074202F" w:rsidP="0074202F">
      <w:pPr>
        <w:pStyle w:val="EndNoteBibliography"/>
        <w:spacing w:after="0"/>
        <w:ind w:left="720" w:hanging="720"/>
      </w:pPr>
      <w:r w:rsidRPr="0074202F">
        <w:t xml:space="preserve">Spiegelman, Z., Golan, G., &amp; Wolf, S. (2013). Don’t kill the messenger: long-distance trafficking of mRNA molecules. </w:t>
      </w:r>
      <w:r w:rsidRPr="0074202F">
        <w:rPr>
          <w:i/>
        </w:rPr>
        <w:t>Plant Science</w:t>
      </w:r>
      <w:r w:rsidRPr="0074202F">
        <w:t>,</w:t>
      </w:r>
      <w:r w:rsidRPr="0074202F">
        <w:rPr>
          <w:i/>
        </w:rPr>
        <w:t xml:space="preserve"> 213</w:t>
      </w:r>
      <w:r w:rsidRPr="0074202F">
        <w:t xml:space="preserve">, 1-8. </w:t>
      </w:r>
    </w:p>
    <w:p w14:paraId="249EACBF" w14:textId="77777777" w:rsidR="0074202F" w:rsidRPr="0074202F" w:rsidRDefault="0074202F" w:rsidP="0074202F">
      <w:pPr>
        <w:pStyle w:val="EndNoteBibliography"/>
        <w:spacing w:after="0"/>
        <w:ind w:left="720" w:hanging="720"/>
      </w:pPr>
      <w:r w:rsidRPr="0074202F">
        <w:t xml:space="preserve">Turgeon, R., &amp; Wolf, S. (2009). Phloem transport: cellular pathways and molecular trafficking. </w:t>
      </w:r>
      <w:r w:rsidRPr="0074202F">
        <w:rPr>
          <w:i/>
        </w:rPr>
        <w:t>Annual review of plant biology</w:t>
      </w:r>
      <w:r w:rsidRPr="0074202F">
        <w:t>,</w:t>
      </w:r>
      <w:r w:rsidRPr="0074202F">
        <w:rPr>
          <w:i/>
        </w:rPr>
        <w:t xml:space="preserve"> 60</w:t>
      </w:r>
      <w:r w:rsidRPr="0074202F">
        <w:t xml:space="preserve">, 207-221. </w:t>
      </w:r>
    </w:p>
    <w:p w14:paraId="59C78E16" w14:textId="77777777" w:rsidR="0074202F" w:rsidRPr="0074202F" w:rsidRDefault="0074202F" w:rsidP="0074202F">
      <w:pPr>
        <w:pStyle w:val="EndNoteBibliography"/>
        <w:spacing w:after="0"/>
        <w:ind w:left="720" w:hanging="720"/>
      </w:pPr>
      <w:r w:rsidRPr="0074202F">
        <w:t xml:space="preserve">Turnbull, C. G., &amp; Lopez‐Cobollo, R. M. (2013). Heavy traffic in the fast lane: long‐distance signalling by macromolecules. </w:t>
      </w:r>
      <w:r w:rsidRPr="0074202F">
        <w:rPr>
          <w:i/>
        </w:rPr>
        <w:t>New phytologist</w:t>
      </w:r>
      <w:r w:rsidRPr="0074202F">
        <w:t>,</w:t>
      </w:r>
      <w:r w:rsidRPr="0074202F">
        <w:rPr>
          <w:i/>
        </w:rPr>
        <w:t xml:space="preserve"> 198</w:t>
      </w:r>
      <w:r w:rsidRPr="0074202F">
        <w:t xml:space="preserve">(1), 33-51. </w:t>
      </w:r>
    </w:p>
    <w:p w14:paraId="50B55F4F" w14:textId="77777777" w:rsidR="0074202F" w:rsidRPr="0074202F" w:rsidRDefault="0074202F" w:rsidP="0074202F">
      <w:pPr>
        <w:pStyle w:val="EndNoteBibliography"/>
        <w:spacing w:after="0"/>
        <w:ind w:left="720" w:hanging="720"/>
      </w:pPr>
      <w:r w:rsidRPr="0074202F">
        <w:t xml:space="preserve">Wang, Y., Wang, L., Xing, N., Wu, X., Wu, X., Wang, B., Lu, Z., Xu, P., Tao, Y., &amp; Li, G. (2020). A universal pipeline for mobile mRNA detection and insights into heterografting advantages under chilling stress. </w:t>
      </w:r>
      <w:r w:rsidRPr="0074202F">
        <w:rPr>
          <w:i/>
        </w:rPr>
        <w:t>Horticulture research</w:t>
      </w:r>
      <w:r w:rsidRPr="0074202F">
        <w:t>,</w:t>
      </w:r>
      <w:r w:rsidRPr="0074202F">
        <w:rPr>
          <w:i/>
        </w:rPr>
        <w:t xml:space="preserve"> 7</w:t>
      </w:r>
      <w:r w:rsidRPr="0074202F">
        <w:t xml:space="preserve">. </w:t>
      </w:r>
    </w:p>
    <w:p w14:paraId="1890AD22" w14:textId="77777777" w:rsidR="0074202F" w:rsidRPr="0074202F" w:rsidRDefault="0074202F" w:rsidP="0074202F">
      <w:pPr>
        <w:pStyle w:val="EndNoteBibliography"/>
        <w:spacing w:after="0"/>
        <w:ind w:left="720" w:hanging="720"/>
      </w:pPr>
      <w:r w:rsidRPr="0074202F">
        <w:t xml:space="preserve">Xia, C., &amp; Zhang, C. (2020). Long-distance movement of mRNAs in plants. </w:t>
      </w:r>
      <w:r w:rsidRPr="0074202F">
        <w:rPr>
          <w:i/>
        </w:rPr>
        <w:t>Plants</w:t>
      </w:r>
      <w:r w:rsidRPr="0074202F">
        <w:t>,</w:t>
      </w:r>
      <w:r w:rsidRPr="0074202F">
        <w:rPr>
          <w:i/>
        </w:rPr>
        <w:t xml:space="preserve"> 9</w:t>
      </w:r>
      <w:r w:rsidRPr="0074202F">
        <w:t xml:space="preserve">(6), 731. </w:t>
      </w:r>
    </w:p>
    <w:p w14:paraId="401EF5CF" w14:textId="77777777" w:rsidR="0074202F" w:rsidRPr="0074202F" w:rsidRDefault="0074202F" w:rsidP="0074202F">
      <w:pPr>
        <w:pStyle w:val="EndNoteBibliography"/>
        <w:spacing w:after="0"/>
        <w:ind w:left="720" w:hanging="720"/>
      </w:pPr>
      <w:r w:rsidRPr="0074202F">
        <w:t xml:space="preserve">Yang, Y., Mao, L., Jittayasothorn, Y., Kang, Y., Jiao, C., Fei, Z., &amp; Zhong, G.-Y. (2015). Messenger RNA exchange between scions and rootstocks in grafted grapevines. </w:t>
      </w:r>
      <w:r w:rsidRPr="0074202F">
        <w:rPr>
          <w:i/>
        </w:rPr>
        <w:t>BMC Plant Biology</w:t>
      </w:r>
      <w:r w:rsidRPr="0074202F">
        <w:t>,</w:t>
      </w:r>
      <w:r w:rsidRPr="0074202F">
        <w:rPr>
          <w:i/>
        </w:rPr>
        <w:t xml:space="preserve"> 15</w:t>
      </w:r>
      <w:r w:rsidRPr="0074202F">
        <w:t xml:space="preserve">(1), 1-14. </w:t>
      </w:r>
    </w:p>
    <w:p w14:paraId="02099E56" w14:textId="77777777" w:rsidR="0074202F" w:rsidRPr="0074202F" w:rsidRDefault="0074202F" w:rsidP="0074202F">
      <w:pPr>
        <w:pStyle w:val="EndNoteBibliography"/>
        <w:spacing w:after="0"/>
        <w:ind w:left="720" w:hanging="720"/>
      </w:pPr>
      <w:r w:rsidRPr="0074202F">
        <w:t xml:space="preserve">Yoo, S. J., Hong, S. M., Jung, H. S., &amp; Ahn, J. H. (2013). The cotyledons produce sufficient FT protein to induce flowering: evidence from cotyledon micrografting in Arabidopsis. </w:t>
      </w:r>
      <w:r w:rsidRPr="0074202F">
        <w:rPr>
          <w:i/>
        </w:rPr>
        <w:t>Plant and cell physiology</w:t>
      </w:r>
      <w:r w:rsidRPr="0074202F">
        <w:t>,</w:t>
      </w:r>
      <w:r w:rsidRPr="0074202F">
        <w:rPr>
          <w:i/>
        </w:rPr>
        <w:t xml:space="preserve"> 54</w:t>
      </w:r>
      <w:r w:rsidRPr="0074202F">
        <w:t xml:space="preserve">(1), 119-128. </w:t>
      </w:r>
    </w:p>
    <w:p w14:paraId="48B08FF6" w14:textId="77777777" w:rsidR="0074202F" w:rsidRPr="0074202F" w:rsidRDefault="0074202F" w:rsidP="0074202F">
      <w:pPr>
        <w:pStyle w:val="EndNoteBibliography"/>
        <w:spacing w:after="0"/>
        <w:ind w:left="720" w:hanging="720"/>
      </w:pPr>
      <w:r w:rsidRPr="0074202F">
        <w:t xml:space="preserve">Yoshida, S., Cui, S., Ichihashi, Y., &amp; Shirasu, K. (2016). The haustorium, a specialized invasive organ in parasitic plants. </w:t>
      </w:r>
      <w:r w:rsidRPr="0074202F">
        <w:rPr>
          <w:i/>
        </w:rPr>
        <w:t>Annual review of plant biology</w:t>
      </w:r>
      <w:r w:rsidRPr="0074202F">
        <w:t>,</w:t>
      </w:r>
      <w:r w:rsidRPr="0074202F">
        <w:rPr>
          <w:i/>
        </w:rPr>
        <w:t xml:space="preserve"> 67</w:t>
      </w:r>
      <w:r w:rsidRPr="0074202F">
        <w:t xml:space="preserve">, 643-667. </w:t>
      </w:r>
    </w:p>
    <w:p w14:paraId="5F57C5CE" w14:textId="77777777" w:rsidR="0074202F" w:rsidRPr="0074202F" w:rsidRDefault="0074202F" w:rsidP="0074202F">
      <w:pPr>
        <w:pStyle w:val="EndNoteBibliography"/>
        <w:ind w:left="720" w:hanging="720"/>
      </w:pPr>
      <w:r w:rsidRPr="0074202F">
        <w:t xml:space="preserve">Zhang, G., Zhou, J., Song, J., Guo, X., Nie, X., &amp; Guo, H. (2022). Grafting-induced transcriptome changes and long-distance mRNA movement in the potato/Datura stramonium heterograft system. </w:t>
      </w:r>
      <w:r w:rsidRPr="0074202F">
        <w:rPr>
          <w:i/>
        </w:rPr>
        <w:t>Horticulture, Environment, and Biotechnology</w:t>
      </w:r>
      <w:r w:rsidRPr="0074202F">
        <w:t>,</w:t>
      </w:r>
      <w:r w:rsidRPr="0074202F">
        <w:rPr>
          <w:i/>
        </w:rPr>
        <w:t xml:space="preserve"> 63</w:t>
      </w:r>
      <w:r w:rsidRPr="0074202F">
        <w:t xml:space="preserve">(2), 229-238. </w:t>
      </w:r>
    </w:p>
    <w:p w14:paraId="12192D7B" w14:textId="7C86EDA5" w:rsidR="0098756D" w:rsidRPr="0098756D" w:rsidRDefault="00530443" w:rsidP="0074202F">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record-ids&gt;&lt;/item&gt;&lt;/Libraries&gt;"/>
  </w:docVars>
  <w:rsids>
    <w:rsidRoot w:val="00F81DD7"/>
    <w:rsid w:val="00020A99"/>
    <w:rsid w:val="0013356D"/>
    <w:rsid w:val="001F45CD"/>
    <w:rsid w:val="00210584"/>
    <w:rsid w:val="00265F26"/>
    <w:rsid w:val="00291715"/>
    <w:rsid w:val="002E2F4D"/>
    <w:rsid w:val="00425924"/>
    <w:rsid w:val="004D7C43"/>
    <w:rsid w:val="004F19E2"/>
    <w:rsid w:val="00515CCD"/>
    <w:rsid w:val="00530443"/>
    <w:rsid w:val="005766E6"/>
    <w:rsid w:val="005825C2"/>
    <w:rsid w:val="00590518"/>
    <w:rsid w:val="00661899"/>
    <w:rsid w:val="006E5C73"/>
    <w:rsid w:val="006F0B9C"/>
    <w:rsid w:val="00741F78"/>
    <w:rsid w:val="0074202F"/>
    <w:rsid w:val="007A6CC6"/>
    <w:rsid w:val="007F2B3C"/>
    <w:rsid w:val="00872EAD"/>
    <w:rsid w:val="00875834"/>
    <w:rsid w:val="00896FD5"/>
    <w:rsid w:val="008A33BE"/>
    <w:rsid w:val="0098756D"/>
    <w:rsid w:val="00A61674"/>
    <w:rsid w:val="00A67B33"/>
    <w:rsid w:val="00AD221B"/>
    <w:rsid w:val="00B10EBE"/>
    <w:rsid w:val="00B30EDE"/>
    <w:rsid w:val="00B512DD"/>
    <w:rsid w:val="00BC7532"/>
    <w:rsid w:val="00BD6561"/>
    <w:rsid w:val="00BD69BA"/>
    <w:rsid w:val="00BE1E1E"/>
    <w:rsid w:val="00C61FCE"/>
    <w:rsid w:val="00D5668A"/>
    <w:rsid w:val="00DA7675"/>
    <w:rsid w:val="00E43A28"/>
    <w:rsid w:val="00E44B34"/>
    <w:rsid w:val="00E475E8"/>
    <w:rsid w:val="00F81DD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31</cp:revision>
  <dcterms:created xsi:type="dcterms:W3CDTF">2023-02-04T15:07:00Z</dcterms:created>
  <dcterms:modified xsi:type="dcterms:W3CDTF">2023-02-05T08:44:00Z</dcterms:modified>
</cp:coreProperties>
</file>