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B93802" w:rsidRDefault="0098756D"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Introduction</w:t>
      </w:r>
    </w:p>
    <w:p w14:paraId="3C8D48C7" w14:textId="1E907402" w:rsidR="007A6CC6" w:rsidRPr="00B93802" w:rsidRDefault="00BC7532"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Grafting is an old technique that has been used for the production of individuals with higher resistance to stresses, precocious flowering plants, controlling of plant architecture, and </w:t>
      </w:r>
      <w:r w:rsidRPr="00B93802">
        <w:rPr>
          <w:rFonts w:asciiTheme="majorBidi" w:hAnsiTheme="majorBidi" w:cstheme="majorBidi"/>
          <w:sz w:val="24"/>
          <w:szCs w:val="24"/>
          <w:highlight w:val="yellow"/>
        </w:rPr>
        <w:t>or ….</w:t>
      </w:r>
      <w:r w:rsidRPr="00B93802">
        <w:rPr>
          <w:rFonts w:asciiTheme="majorBidi" w:hAnsiTheme="majorBidi" w:cstheme="majorBidi"/>
          <w:sz w:val="24"/>
          <w:szCs w:val="24"/>
        </w:rPr>
        <w:t xml:space="preserve">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 Yang et al., 2015)</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 xml:space="preserve">. </w:t>
      </w:r>
      <w:r w:rsidR="00515CCD" w:rsidRPr="00B93802">
        <w:rPr>
          <w:rFonts w:asciiTheme="majorBidi" w:hAnsiTheme="majorBidi" w:cstheme="majorBidi"/>
          <w:sz w:val="24"/>
          <w:szCs w:val="24"/>
        </w:rPr>
        <w:t>Potato/tomato heterografting, w</w:t>
      </w:r>
      <w:r w:rsidR="00E44B34" w:rsidRPr="00B93802">
        <w:rPr>
          <w:rFonts w:asciiTheme="majorBidi" w:hAnsiTheme="majorBidi" w:cstheme="majorBidi"/>
          <w:sz w:val="24"/>
          <w:szCs w:val="24"/>
        </w:rPr>
        <w:t>atermelon/bottle gourd, or fruit grafting are some examples that heterografting help</w:t>
      </w:r>
      <w:r w:rsidR="00425924" w:rsidRPr="00B93802">
        <w:rPr>
          <w:rFonts w:asciiTheme="majorBidi" w:hAnsiTheme="majorBidi" w:cstheme="majorBidi"/>
          <w:sz w:val="24"/>
          <w:szCs w:val="24"/>
        </w:rPr>
        <w:t>ed</w:t>
      </w:r>
      <w:r w:rsidR="00E44B34" w:rsidRPr="00B93802">
        <w:rPr>
          <w:rFonts w:asciiTheme="majorBidi" w:hAnsiTheme="majorBidi" w:cstheme="majorBidi"/>
          <w:sz w:val="24"/>
          <w:szCs w:val="24"/>
        </w:rPr>
        <w:t xml:space="preserve"> plants to survive </w:t>
      </w:r>
      <w:r w:rsidR="004D7C43" w:rsidRPr="00B93802">
        <w:rPr>
          <w:rFonts w:asciiTheme="majorBidi" w:hAnsiTheme="majorBidi" w:cstheme="majorBidi"/>
          <w:sz w:val="24"/>
          <w:szCs w:val="24"/>
        </w:rPr>
        <w:t>under</w:t>
      </w:r>
      <w:r w:rsidR="00E44B34" w:rsidRPr="00B93802">
        <w:rPr>
          <w:rFonts w:asciiTheme="majorBidi" w:hAnsiTheme="majorBidi" w:cstheme="majorBidi"/>
          <w:sz w:val="24"/>
          <w:szCs w:val="24"/>
        </w:rPr>
        <w:t xml:space="preserve"> stresses or hav</w:t>
      </w:r>
      <w:r w:rsidR="004D7C43" w:rsidRPr="00B93802">
        <w:rPr>
          <w:rFonts w:asciiTheme="majorBidi" w:hAnsiTheme="majorBidi" w:cstheme="majorBidi"/>
          <w:sz w:val="24"/>
          <w:szCs w:val="24"/>
        </w:rPr>
        <w:t>e</w:t>
      </w:r>
      <w:r w:rsidR="00E44B34" w:rsidRPr="00B93802">
        <w:rPr>
          <w:rFonts w:asciiTheme="majorBidi" w:hAnsiTheme="majorBidi" w:cstheme="majorBidi"/>
          <w:sz w:val="24"/>
          <w:szCs w:val="24"/>
        </w:rPr>
        <w:t xml:space="preserve"> better growth in different situations </w:t>
      </w:r>
      <w:r w:rsidR="006F0B9C" w:rsidRPr="00B93802">
        <w:rPr>
          <w:rFonts w:asciiTheme="majorBidi" w:hAnsiTheme="majorBidi" w:cstheme="majorBidi"/>
          <w:sz w:val="24"/>
          <w:szCs w:val="24"/>
        </w:rPr>
        <w:fldChar w:fldCharType="begin"/>
      </w:r>
      <w:r w:rsidR="006F0B9C" w:rsidRPr="00B93802">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sidRPr="00B93802">
        <w:rPr>
          <w:rFonts w:asciiTheme="majorBidi" w:hAnsiTheme="majorBidi" w:cstheme="majorBidi"/>
          <w:sz w:val="24"/>
          <w:szCs w:val="24"/>
        </w:rPr>
        <w:fldChar w:fldCharType="separate"/>
      </w:r>
      <w:r w:rsidR="006F0B9C" w:rsidRPr="00B93802">
        <w:rPr>
          <w:rFonts w:asciiTheme="majorBidi" w:hAnsiTheme="majorBidi" w:cstheme="majorBidi"/>
          <w:noProof/>
          <w:sz w:val="24"/>
          <w:szCs w:val="24"/>
        </w:rPr>
        <w:t>(Wang et al., 2020; Zhang et al., 2022)</w:t>
      </w:r>
      <w:r w:rsidR="006F0B9C" w:rsidRPr="00B93802">
        <w:rPr>
          <w:rFonts w:asciiTheme="majorBidi" w:hAnsiTheme="majorBidi" w:cstheme="majorBidi"/>
          <w:sz w:val="24"/>
          <w:szCs w:val="24"/>
        </w:rPr>
        <w:fldChar w:fldCharType="end"/>
      </w:r>
      <w:r w:rsidR="006F0B9C" w:rsidRPr="00B93802">
        <w:rPr>
          <w:rFonts w:asciiTheme="majorBidi" w:hAnsiTheme="majorBidi" w:cstheme="majorBidi"/>
          <w:sz w:val="24"/>
          <w:szCs w:val="24"/>
        </w:rPr>
        <w:t>.</w:t>
      </w:r>
      <w:r w:rsidR="00E475E8" w:rsidRPr="00B93802">
        <w:rPr>
          <w:rFonts w:asciiTheme="majorBidi" w:hAnsiTheme="majorBidi" w:cstheme="majorBidi"/>
          <w:sz w:val="24"/>
          <w:szCs w:val="24"/>
        </w:rPr>
        <w:t xml:space="preserve"> G</w:t>
      </w:r>
      <w:r w:rsidRPr="00B93802">
        <w:rPr>
          <w:rFonts w:asciiTheme="majorBidi" w:hAnsiTheme="majorBidi" w:cstheme="majorBidi"/>
          <w:sz w:val="24"/>
          <w:szCs w:val="24"/>
        </w:rPr>
        <w:t>rafting causes changes in the heterograft traits</w:t>
      </w:r>
      <w:r w:rsidR="00E475E8" w:rsidRPr="00B93802">
        <w:rPr>
          <w:rFonts w:asciiTheme="majorBidi" w:hAnsiTheme="majorBidi" w:cstheme="majorBidi"/>
          <w:sz w:val="24"/>
          <w:szCs w:val="24"/>
        </w:rPr>
        <w:t xml:space="preserve"> but</w:t>
      </w:r>
      <w:r w:rsidRPr="00B93802">
        <w:rPr>
          <w:rFonts w:asciiTheme="majorBidi" w:hAnsiTheme="majorBidi" w:cstheme="majorBidi"/>
          <w:sz w:val="24"/>
          <w:szCs w:val="24"/>
        </w:rPr>
        <w:t xml:space="preserve"> the molecular mechanisms behind that had been unknown for decades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210584" w:rsidRPr="00B93802">
        <w:rPr>
          <w:rFonts w:asciiTheme="majorBidi" w:hAnsiTheme="majorBidi" w:cstheme="majorBidi"/>
          <w:sz w:val="24"/>
          <w:szCs w:val="24"/>
        </w:rPr>
        <w:t xml:space="preserve"> </w:t>
      </w:r>
      <w:r w:rsidR="004D7C43" w:rsidRPr="00B93802">
        <w:rPr>
          <w:rFonts w:asciiTheme="majorBidi" w:hAnsiTheme="majorBidi" w:cstheme="majorBidi"/>
          <w:sz w:val="24"/>
          <w:szCs w:val="24"/>
        </w:rPr>
        <w:t xml:space="preserve">There must exist a communication system between different compartments within cells, adjacent cells, and different organs that could transport the environmental or developmental signals that also transport back and forward signals among rootstock and scion in heterografts </w: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 </w:instrTex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EN.CITE.DATA </w:instrText>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(Spiegelman et al., 2013; Turnbull &amp; Lopez‐Cobollo, 2013; Xia &amp; Zhang, 2020)</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sidRPr="00B93802">
        <w:rPr>
          <w:rFonts w:asciiTheme="majorBidi" w:hAnsiTheme="majorBidi" w:cstheme="majorBidi"/>
          <w:sz w:val="24"/>
          <w:szCs w:val="24"/>
        </w:rPr>
        <w:fldChar w:fldCharType="begin"/>
      </w:r>
      <w:r w:rsidR="00210584" w:rsidRPr="00B93802">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(Turgeon &amp; Wolf, 2009)</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Unlike other long-distance transport molecules, the biological functions of mobile RNAs have not been completely identified</w:t>
      </w:r>
      <w:r w:rsidR="004F19E2" w:rsidRPr="00B93802">
        <w:rPr>
          <w:rFonts w:asciiTheme="majorBidi" w:hAnsiTheme="majorBidi" w:cstheme="majorBidi"/>
          <w:sz w:val="24"/>
          <w:szCs w:val="24"/>
        </w:rPr>
        <w:t xml:space="preserve"> </w:t>
      </w:r>
      <w:r w:rsidR="004F19E2" w:rsidRPr="00B93802">
        <w:rPr>
          <w:rFonts w:asciiTheme="majorBidi" w:hAnsiTheme="majorBidi" w:cstheme="majorBidi"/>
          <w:sz w:val="24"/>
          <w:szCs w:val="24"/>
        </w:rPr>
        <w:fldChar w:fldCharType="begin"/>
      </w:r>
      <w:r w:rsidR="004F19E2"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sidRPr="00B93802">
        <w:rPr>
          <w:rFonts w:asciiTheme="majorBidi" w:hAnsiTheme="majorBidi" w:cstheme="majorBidi"/>
          <w:sz w:val="24"/>
          <w:szCs w:val="24"/>
        </w:rPr>
        <w:fldChar w:fldCharType="separate"/>
      </w:r>
      <w:r w:rsidR="004F19E2" w:rsidRPr="00B93802">
        <w:rPr>
          <w:rFonts w:asciiTheme="majorBidi" w:hAnsiTheme="majorBidi" w:cstheme="majorBidi"/>
          <w:noProof/>
          <w:sz w:val="24"/>
          <w:szCs w:val="24"/>
        </w:rPr>
        <w:t>(Xia &amp; Zhang, 2020)</w:t>
      </w:r>
      <w:r w:rsidR="004F19E2"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w:t>
      </w:r>
      <w:r w:rsidR="007A6CC6" w:rsidRPr="00B93802">
        <w:rPr>
          <w:rFonts w:asciiTheme="majorBidi" w:hAnsiTheme="majorBidi" w:cstheme="majorBidi"/>
          <w:sz w:val="24"/>
          <w:szCs w:val="24"/>
        </w:rPr>
        <w:t xml:space="preserve">The signaling role of RNAs was </w:t>
      </w:r>
      <w:r w:rsidR="002E2F4D" w:rsidRPr="00B93802">
        <w:rPr>
          <w:rFonts w:asciiTheme="majorBidi" w:hAnsiTheme="majorBidi" w:cstheme="majorBidi"/>
          <w:sz w:val="24"/>
          <w:szCs w:val="24"/>
        </w:rPr>
        <w:t xml:space="preserve">firstly </w:t>
      </w:r>
      <w:r w:rsidR="007A6CC6" w:rsidRPr="00B93802">
        <w:rPr>
          <w:rFonts w:asciiTheme="majorBidi" w:hAnsiTheme="majorBidi" w:cstheme="majorBidi"/>
          <w:sz w:val="24"/>
          <w:szCs w:val="24"/>
        </w:rPr>
        <w:t>reported in virus-infected plants</w:t>
      </w:r>
      <w:r w:rsidR="002E2F4D" w:rsidRPr="00B93802">
        <w:rPr>
          <w:rFonts w:asciiTheme="majorBidi" w:hAnsiTheme="majorBidi" w:cstheme="majorBidi"/>
          <w:sz w:val="24"/>
          <w:szCs w:val="24"/>
        </w:rPr>
        <w:t xml:space="preserve">, moving virus RNAs through plasmodesmata in plants </w:t>
      </w:r>
      <w:r w:rsidR="002E2F4D" w:rsidRPr="00B93802">
        <w:rPr>
          <w:rFonts w:asciiTheme="majorBidi" w:hAnsiTheme="majorBidi" w:cstheme="majorBidi"/>
          <w:sz w:val="24"/>
          <w:szCs w:val="24"/>
        </w:rPr>
        <w:fldChar w:fldCharType="begin"/>
      </w:r>
      <w:r w:rsidR="002E2F4D" w:rsidRPr="00B93802">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sidRPr="00B93802">
        <w:rPr>
          <w:rFonts w:asciiTheme="majorBidi" w:hAnsiTheme="majorBidi" w:cstheme="majorBidi"/>
          <w:sz w:val="24"/>
          <w:szCs w:val="24"/>
        </w:rPr>
        <w:fldChar w:fldCharType="separate"/>
      </w:r>
      <w:r w:rsidR="002E2F4D" w:rsidRPr="00B93802">
        <w:rPr>
          <w:rFonts w:asciiTheme="majorBidi" w:hAnsiTheme="majorBidi" w:cstheme="majorBidi"/>
          <w:noProof/>
          <w:sz w:val="24"/>
          <w:szCs w:val="24"/>
        </w:rPr>
        <w:t>(Petty et al., 1990; Ryabov et al., 1999)</w:t>
      </w:r>
      <w:r w:rsidR="002E2F4D" w:rsidRPr="00B93802">
        <w:rPr>
          <w:rFonts w:asciiTheme="majorBidi" w:hAnsiTheme="majorBidi" w:cstheme="majorBidi"/>
          <w:sz w:val="24"/>
          <w:szCs w:val="24"/>
        </w:rPr>
        <w:fldChar w:fldCharType="end"/>
      </w:r>
      <w:r w:rsidR="002E2F4D" w:rsidRPr="00B93802">
        <w:rPr>
          <w:rFonts w:asciiTheme="majorBidi" w:hAnsiTheme="majorBidi" w:cstheme="majorBidi"/>
          <w:sz w:val="24"/>
          <w:szCs w:val="24"/>
        </w:rPr>
        <w:t>.</w:t>
      </w:r>
      <w:r w:rsidR="004F19E2" w:rsidRPr="00B93802">
        <w:rPr>
          <w:rFonts w:asciiTheme="majorBidi" w:hAnsiTheme="majorBidi" w:cstheme="majorBidi"/>
          <w:sz w:val="24"/>
          <w:szCs w:val="24"/>
        </w:rPr>
        <w:t xml:space="preserve"> </w:t>
      </w:r>
      <w:r w:rsidR="00DA7675" w:rsidRPr="00B93802">
        <w:rPr>
          <w:rFonts w:asciiTheme="majorBidi" w:hAnsiTheme="majorBidi" w:cstheme="majorBidi"/>
          <w:sz w:val="24"/>
          <w:szCs w:val="24"/>
        </w:rPr>
        <w:t>In Arabidopsis, s</w:t>
      </w:r>
      <w:r w:rsidR="007F2B3C" w:rsidRPr="00B93802">
        <w:rPr>
          <w:rFonts w:asciiTheme="majorBidi" w:hAnsiTheme="majorBidi" w:cstheme="majorBidi"/>
          <w:sz w:val="24"/>
          <w:szCs w:val="24"/>
        </w:rPr>
        <w:t>ome mobile</w:t>
      </w:r>
      <w:r w:rsidR="00DA7675" w:rsidRPr="00B93802">
        <w:rPr>
          <w:rFonts w:asciiTheme="majorBidi" w:hAnsiTheme="majorBidi" w:cstheme="majorBidi"/>
          <w:sz w:val="24"/>
          <w:szCs w:val="24"/>
        </w:rPr>
        <w:t xml:space="preserve"> mRNAs transport from leaf to the floral meristem to regulate the reproductive functions responding to environmental cues </w:t>
      </w:r>
      <w:r w:rsidR="00DA7675" w:rsidRPr="00B93802">
        <w:rPr>
          <w:rFonts w:asciiTheme="majorBidi" w:hAnsiTheme="majorBidi" w:cstheme="majorBidi"/>
          <w:sz w:val="24"/>
          <w:szCs w:val="24"/>
        </w:rPr>
        <w:fldChar w:fldCharType="begin"/>
      </w:r>
      <w:r w:rsidR="00DA7675" w:rsidRPr="00B93802">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sidRPr="00B93802">
        <w:rPr>
          <w:rFonts w:asciiTheme="majorBidi" w:hAnsiTheme="majorBidi" w:cstheme="majorBidi"/>
          <w:sz w:val="24"/>
          <w:szCs w:val="24"/>
        </w:rPr>
        <w:fldChar w:fldCharType="separate"/>
      </w:r>
      <w:r w:rsidR="00DA7675" w:rsidRPr="00B93802">
        <w:rPr>
          <w:rFonts w:asciiTheme="majorBidi" w:hAnsiTheme="majorBidi" w:cstheme="majorBidi"/>
          <w:noProof/>
          <w:sz w:val="24"/>
          <w:szCs w:val="24"/>
        </w:rPr>
        <w:t>(Corbesier et al., 2007; Yoo et al., 2013)</w:t>
      </w:r>
      <w:r w:rsidR="00DA7675" w:rsidRPr="00B93802">
        <w:rPr>
          <w:rFonts w:asciiTheme="majorBidi" w:hAnsiTheme="majorBidi" w:cstheme="majorBidi"/>
          <w:sz w:val="24"/>
          <w:szCs w:val="24"/>
        </w:rPr>
        <w:fldChar w:fldCharType="end"/>
      </w:r>
      <w:r w:rsidR="00DA7675" w:rsidRPr="00B93802">
        <w:rPr>
          <w:rFonts w:asciiTheme="majorBidi" w:hAnsiTheme="majorBidi" w:cstheme="majorBidi"/>
          <w:sz w:val="24"/>
          <w:szCs w:val="24"/>
        </w:rPr>
        <w:t xml:space="preserve">. </w:t>
      </w:r>
      <w:r w:rsidR="009440FE" w:rsidRPr="00B93802">
        <w:rPr>
          <w:rFonts w:asciiTheme="majorBidi" w:hAnsiTheme="majorBidi" w:cstheme="majorBidi"/>
          <w:sz w:val="24"/>
          <w:szCs w:val="24"/>
        </w:rPr>
        <w:t>Various physiological processes</w:t>
      </w:r>
      <w:r w:rsidR="0074202F" w:rsidRPr="00B93802">
        <w:rPr>
          <w:rFonts w:asciiTheme="majorBidi" w:hAnsiTheme="majorBidi" w:cstheme="majorBidi"/>
          <w:sz w:val="24"/>
          <w:szCs w:val="24"/>
        </w:rPr>
        <w:t xml:space="preserve"> reported</w:t>
      </w:r>
      <w:r w:rsidR="009440FE" w:rsidRPr="00B93802">
        <w:rPr>
          <w:rFonts w:asciiTheme="majorBidi" w:hAnsiTheme="majorBidi" w:cstheme="majorBidi"/>
          <w:sz w:val="24"/>
          <w:szCs w:val="24"/>
        </w:rPr>
        <w:t xml:space="preserve"> having association with</w:t>
      </w:r>
      <w:r w:rsidR="0074202F" w:rsidRPr="00B93802">
        <w:rPr>
          <w:rFonts w:asciiTheme="majorBidi" w:hAnsiTheme="majorBidi" w:cstheme="majorBidi"/>
          <w:sz w:val="24"/>
          <w:szCs w:val="24"/>
        </w:rPr>
        <w:t xml:space="preserve"> mobile mRNAs</w:t>
      </w:r>
      <w:r w:rsidR="009440FE" w:rsidRPr="00B93802">
        <w:rPr>
          <w:rFonts w:asciiTheme="majorBidi" w:hAnsiTheme="majorBidi" w:cstheme="majorBidi"/>
          <w:sz w:val="24"/>
          <w:szCs w:val="24"/>
        </w:rPr>
        <w:t>, such as</w:t>
      </w:r>
      <w:r w:rsidR="0046134C" w:rsidRPr="00B93802">
        <w:rPr>
          <w:rFonts w:asciiTheme="majorBidi" w:hAnsiTheme="majorBidi" w:cstheme="majorBidi"/>
          <w:sz w:val="24"/>
          <w:szCs w:val="24"/>
        </w:rPr>
        <w:t xml:space="preserve"> the</w:t>
      </w:r>
      <w:r w:rsidR="0074202F" w:rsidRPr="00B93802">
        <w:rPr>
          <w:rFonts w:asciiTheme="majorBidi" w:hAnsiTheme="majorBidi" w:cstheme="majorBidi"/>
          <w:sz w:val="24"/>
          <w:szCs w:val="24"/>
        </w:rPr>
        <w:t xml:space="preserve"> regulation of potato </w:t>
      </w:r>
      <w:proofErr w:type="spellStart"/>
      <w:r w:rsidR="0074202F" w:rsidRPr="00B93802">
        <w:rPr>
          <w:rFonts w:asciiTheme="majorBidi" w:hAnsiTheme="majorBidi" w:cstheme="majorBidi"/>
          <w:sz w:val="24"/>
          <w:szCs w:val="24"/>
        </w:rPr>
        <w:t>tuberization</w:t>
      </w:r>
      <w:proofErr w:type="spellEnd"/>
      <w:r w:rsidR="0074202F" w:rsidRPr="00B93802">
        <w:rPr>
          <w:rFonts w:asciiTheme="majorBidi" w:hAnsiTheme="majorBidi" w:cstheme="majorBidi"/>
          <w:sz w:val="24"/>
          <w:szCs w:val="24"/>
        </w:rPr>
        <w:t xml:space="preserve">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(Ghate et al., 2017; Hannapel &amp; Banerjee, 2017)</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lateral root formation in parasitic plants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(Yoshida et al., 2016)</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leaf morphology changes in tomato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(Haywood et al., 2005)</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and or floral initiation in Arabidopsis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(Huang et al., 2012)</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w:t>
      </w:r>
      <w:r w:rsidR="00DA7675" w:rsidRPr="00B93802">
        <w:rPr>
          <w:rFonts w:asciiTheme="majorBidi" w:hAnsiTheme="majorBidi" w:cstheme="majorBidi"/>
          <w:sz w:val="24"/>
          <w:szCs w:val="24"/>
        </w:rPr>
        <w:t xml:space="preserve"> </w:t>
      </w:r>
    </w:p>
    <w:p w14:paraId="3BB54A6C" w14:textId="252AC492" w:rsidR="00BC7532" w:rsidRPr="00B93802" w:rsidRDefault="00210584"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(Li et al., 2022)</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D5668A" w:rsidRPr="00B93802">
        <w:rPr>
          <w:rFonts w:asciiTheme="majorBidi" w:hAnsiTheme="majorBidi" w:cstheme="majorBidi"/>
          <w:sz w:val="24"/>
          <w:szCs w:val="24"/>
        </w:rPr>
        <w:t xml:space="preserve"> </w:t>
      </w:r>
      <w:r w:rsidR="007B0375" w:rsidRPr="00B93802">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sidRPr="00B93802">
        <w:rPr>
          <w:rFonts w:asciiTheme="majorBidi" w:hAnsiTheme="majorBidi" w:cstheme="majorBidi"/>
          <w:sz w:val="24"/>
          <w:szCs w:val="24"/>
        </w:rPr>
        <w:fldChar w:fldCharType="begin"/>
      </w:r>
      <w:r w:rsidR="007B0375"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sidRPr="00B93802">
        <w:rPr>
          <w:rFonts w:asciiTheme="majorBidi" w:hAnsiTheme="majorBidi" w:cstheme="majorBidi"/>
          <w:sz w:val="24"/>
          <w:szCs w:val="24"/>
        </w:rPr>
        <w:fldChar w:fldCharType="separate"/>
      </w:r>
      <w:r w:rsidR="007B0375" w:rsidRPr="00B93802">
        <w:rPr>
          <w:rFonts w:asciiTheme="majorBidi" w:hAnsiTheme="majorBidi" w:cstheme="majorBidi"/>
          <w:noProof/>
          <w:sz w:val="24"/>
          <w:szCs w:val="24"/>
        </w:rPr>
        <w:t>(Xia &amp; Zhang, 2020)</w:t>
      </w:r>
      <w:r w:rsidR="007B0375" w:rsidRPr="00B93802">
        <w:rPr>
          <w:rFonts w:asciiTheme="majorBidi" w:hAnsiTheme="majorBidi" w:cstheme="majorBidi"/>
          <w:sz w:val="24"/>
          <w:szCs w:val="24"/>
        </w:rPr>
        <w:fldChar w:fldCharType="end"/>
      </w:r>
      <w:r w:rsidR="007B0375" w:rsidRPr="00B93802">
        <w:rPr>
          <w:rFonts w:asciiTheme="majorBidi" w:hAnsiTheme="majorBidi" w:cstheme="majorBidi"/>
          <w:sz w:val="24"/>
          <w:szCs w:val="24"/>
        </w:rPr>
        <w:t>.</w:t>
      </w:r>
      <w:r w:rsidR="00402AB7" w:rsidRPr="00B93802">
        <w:rPr>
          <w:rFonts w:asciiTheme="majorBidi" w:hAnsiTheme="majorBidi" w:cstheme="majorBidi"/>
          <w:sz w:val="24"/>
          <w:szCs w:val="24"/>
        </w:rPr>
        <w:t xml:space="preserve"> According to the </w:t>
      </w:r>
      <w:r w:rsidR="0076383E" w:rsidRPr="00B93802">
        <w:rPr>
          <w:rFonts w:asciiTheme="majorBidi" w:hAnsiTheme="majorBidi" w:cstheme="majorBidi"/>
          <w:sz w:val="24"/>
          <w:szCs w:val="24"/>
        </w:rPr>
        <w:t>distance between genome sequences</w:t>
      </w:r>
      <w:r w:rsidR="004579DE" w:rsidRPr="00B93802">
        <w:rPr>
          <w:rFonts w:asciiTheme="majorBidi" w:hAnsiTheme="majorBidi" w:cstheme="majorBidi"/>
          <w:sz w:val="24"/>
          <w:szCs w:val="24"/>
        </w:rPr>
        <w:t>,</w:t>
      </w:r>
      <w:r w:rsidR="0076383E" w:rsidRPr="00B93802">
        <w:rPr>
          <w:rFonts w:asciiTheme="majorBidi" w:hAnsiTheme="majorBidi" w:cstheme="majorBidi"/>
          <w:sz w:val="24"/>
          <w:szCs w:val="24"/>
        </w:rPr>
        <w:t xml:space="preserve"> different strategies might </w:t>
      </w:r>
      <w:r w:rsidR="004579DE" w:rsidRPr="00B93802">
        <w:rPr>
          <w:rFonts w:asciiTheme="majorBidi" w:hAnsiTheme="majorBidi" w:cstheme="majorBidi"/>
          <w:sz w:val="24"/>
          <w:szCs w:val="24"/>
        </w:rPr>
        <w:t xml:space="preserve">be </w:t>
      </w:r>
      <w:r w:rsidR="0076383E" w:rsidRPr="00B93802">
        <w:rPr>
          <w:rFonts w:asciiTheme="majorBidi" w:hAnsiTheme="majorBidi" w:cstheme="majorBidi"/>
          <w:sz w:val="24"/>
          <w:szCs w:val="24"/>
        </w:rPr>
        <w:t xml:space="preserve">utilized for RNA-seq analysis to detect mobile mRNAs; </w:t>
      </w:r>
      <w:r w:rsidR="008F0080" w:rsidRPr="00B93802">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sidRPr="00B93802">
        <w:rPr>
          <w:rFonts w:asciiTheme="majorBidi" w:hAnsiTheme="majorBidi" w:cstheme="majorBidi"/>
          <w:sz w:val="24"/>
          <w:szCs w:val="24"/>
        </w:rPr>
        <w:t>their</w:t>
      </w:r>
      <w:r w:rsidR="008F0080" w:rsidRPr="00B93802">
        <w:rPr>
          <w:rFonts w:asciiTheme="majorBidi" w:hAnsiTheme="majorBidi" w:cstheme="majorBidi"/>
          <w:sz w:val="24"/>
          <w:szCs w:val="24"/>
        </w:rPr>
        <w:t xml:space="preserve"> corresponding reads from one genotype were detected in the other genotype in the heterografts</w:t>
      </w:r>
      <w:r w:rsidR="004579DE" w:rsidRPr="00B93802">
        <w:rPr>
          <w:rFonts w:asciiTheme="majorBidi" w:hAnsiTheme="majorBidi" w:cstheme="majorBidi"/>
          <w:sz w:val="24"/>
          <w:szCs w:val="24"/>
        </w:rPr>
        <w:t xml:space="preserve"> </w:t>
      </w:r>
      <w:r w:rsidR="004579DE" w:rsidRPr="00B93802">
        <w:rPr>
          <w:rFonts w:asciiTheme="majorBidi" w:hAnsiTheme="majorBidi" w:cstheme="majorBidi"/>
          <w:sz w:val="24"/>
          <w:szCs w:val="24"/>
        </w:rPr>
        <w:fldChar w:fldCharType="begin"/>
      </w:r>
      <w:r w:rsidR="004579DE" w:rsidRPr="00B93802">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sidRPr="00B93802">
        <w:rPr>
          <w:rFonts w:asciiTheme="majorBidi" w:hAnsiTheme="majorBidi" w:cstheme="majorBidi"/>
          <w:sz w:val="24"/>
          <w:szCs w:val="24"/>
        </w:rPr>
        <w:fldChar w:fldCharType="separate"/>
      </w:r>
      <w:r w:rsidR="004579DE" w:rsidRPr="00B93802">
        <w:rPr>
          <w:rFonts w:asciiTheme="majorBidi" w:hAnsiTheme="majorBidi" w:cstheme="majorBidi"/>
          <w:noProof/>
          <w:sz w:val="24"/>
          <w:szCs w:val="24"/>
        </w:rPr>
        <w:t>(Wang et al., 2020; Yang et al., 2015)</w:t>
      </w:r>
      <w:r w:rsidR="004579DE" w:rsidRPr="00B93802">
        <w:rPr>
          <w:rFonts w:asciiTheme="majorBidi" w:hAnsiTheme="majorBidi" w:cstheme="majorBidi"/>
          <w:sz w:val="24"/>
          <w:szCs w:val="24"/>
        </w:rPr>
        <w:fldChar w:fldCharType="end"/>
      </w:r>
      <w:r w:rsidR="006E4FD6" w:rsidRPr="00B93802">
        <w:rPr>
          <w:rFonts w:asciiTheme="majorBidi" w:hAnsiTheme="majorBidi" w:cstheme="majorBidi"/>
          <w:sz w:val="24"/>
          <w:szCs w:val="24"/>
        </w:rPr>
        <w:t>. However, for heterografts compos</w:t>
      </w:r>
      <w:r w:rsidR="00F87CE8" w:rsidRPr="00B93802">
        <w:rPr>
          <w:rFonts w:asciiTheme="majorBidi" w:hAnsiTheme="majorBidi" w:cstheme="majorBidi"/>
          <w:sz w:val="24"/>
          <w:szCs w:val="24"/>
        </w:rPr>
        <w:t>ed</w:t>
      </w:r>
      <w:r w:rsidR="006E4FD6" w:rsidRPr="00B93802">
        <w:rPr>
          <w:rFonts w:asciiTheme="majorBidi" w:hAnsiTheme="majorBidi" w:cstheme="majorBidi"/>
          <w:sz w:val="24"/>
          <w:szCs w:val="24"/>
        </w:rPr>
        <w:t xml:space="preserve"> from two distant genome sequences, RNA</w:t>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sidRPr="00B93802">
        <w:rPr>
          <w:rFonts w:asciiTheme="majorBidi" w:hAnsiTheme="majorBidi" w:cstheme="majorBidi"/>
          <w:sz w:val="24"/>
          <w:szCs w:val="24"/>
        </w:rPr>
        <w:t>species’</w:t>
      </w:r>
      <w:r w:rsidR="006E4FD6" w:rsidRPr="00B93802">
        <w:rPr>
          <w:rFonts w:asciiTheme="majorBidi" w:hAnsiTheme="majorBidi" w:cstheme="majorBidi"/>
          <w:sz w:val="24"/>
          <w:szCs w:val="24"/>
        </w:rPr>
        <w:t xml:space="preserve"> reference genome will be identified as transmitted mRNAs</w:t>
      </w:r>
      <w:r w:rsidR="00F87CE8"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fldChar w:fldCharType="begin"/>
      </w:r>
      <w:r w:rsidR="00F87CE8" w:rsidRPr="00B93802">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sidRPr="00B93802">
        <w:rPr>
          <w:rFonts w:asciiTheme="majorBidi" w:hAnsiTheme="majorBidi" w:cstheme="majorBidi"/>
          <w:sz w:val="24"/>
          <w:szCs w:val="24"/>
        </w:rPr>
        <w:fldChar w:fldCharType="separate"/>
      </w:r>
      <w:r w:rsidR="00F87CE8" w:rsidRPr="00B93802">
        <w:rPr>
          <w:rFonts w:asciiTheme="majorBidi" w:hAnsiTheme="majorBidi" w:cstheme="majorBidi"/>
          <w:noProof/>
          <w:sz w:val="24"/>
          <w:szCs w:val="24"/>
        </w:rPr>
        <w:t>(Notaguchi et al., 2015; Xia et al., 2018)</w:t>
      </w:r>
      <w:r w:rsidR="00F87CE8" w:rsidRPr="00B93802">
        <w:rPr>
          <w:rFonts w:asciiTheme="majorBidi" w:hAnsiTheme="majorBidi" w:cstheme="majorBidi"/>
          <w:sz w:val="24"/>
          <w:szCs w:val="24"/>
        </w:rPr>
        <w:fldChar w:fldCharType="end"/>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t>I</w:t>
      </w:r>
      <w:r w:rsidR="006E4FD6" w:rsidRPr="00B93802">
        <w:rPr>
          <w:rFonts w:asciiTheme="majorBidi" w:hAnsiTheme="majorBidi" w:cstheme="majorBidi"/>
          <w:sz w:val="24"/>
          <w:szCs w:val="24"/>
        </w:rPr>
        <w:t>ndeed in both strategies some criteria must be considered to detect</w:t>
      </w:r>
      <w:r w:rsidR="00F87CE8" w:rsidRPr="00B93802">
        <w:rPr>
          <w:rFonts w:asciiTheme="majorBidi" w:hAnsiTheme="majorBidi" w:cstheme="majorBidi"/>
          <w:sz w:val="24"/>
          <w:szCs w:val="24"/>
        </w:rPr>
        <w:t xml:space="preserve"> more reliable mobile mRNAs.</w:t>
      </w:r>
      <w:r w:rsidR="006E4FD6" w:rsidRPr="00B93802">
        <w:rPr>
          <w:rFonts w:asciiTheme="majorBidi" w:hAnsiTheme="majorBidi" w:cstheme="majorBidi"/>
          <w:sz w:val="24"/>
          <w:szCs w:val="24"/>
        </w:rPr>
        <w:t xml:space="preserve"> </w:t>
      </w:r>
    </w:p>
    <w:p w14:paraId="6CAA119D" w14:textId="6B5A3037" w:rsidR="00B512DD" w:rsidRPr="00B93802" w:rsidRDefault="00EF4ACB" w:rsidP="001C02A0">
      <w:pPr>
        <w:jc w:val="both"/>
        <w:rPr>
          <w:rFonts w:asciiTheme="majorBidi" w:hAnsiTheme="majorBidi" w:cstheme="majorBidi"/>
          <w:sz w:val="24"/>
          <w:szCs w:val="24"/>
          <w:lang w:bidi="fa-IR"/>
        </w:rPr>
      </w:pPr>
      <w:r w:rsidRPr="00B93802">
        <w:rPr>
          <w:rFonts w:asciiTheme="majorBidi" w:hAnsiTheme="majorBidi" w:cstheme="majorBidi"/>
          <w:sz w:val="24"/>
          <w:szCs w:val="24"/>
        </w:rPr>
        <w:t xml:space="preserve">Transcriptome assessment of heterografting has become an interesting tool to detect mobile RNAs as long-distance signals in plants </w:t>
      </w:r>
      <w:r w:rsidR="00D55572" w:rsidRPr="00B93802">
        <w:rPr>
          <w:rFonts w:asciiTheme="majorBidi" w:hAnsiTheme="majorBidi" w:cstheme="majorBidi"/>
          <w:sz w:val="24"/>
          <w:szCs w:val="24"/>
        </w:rPr>
        <w:fldChar w:fldCharType="begin"/>
      </w:r>
      <w:r w:rsidR="00D55572"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sidRPr="00B93802">
        <w:rPr>
          <w:rFonts w:asciiTheme="majorBidi" w:hAnsiTheme="majorBidi" w:cstheme="majorBidi"/>
          <w:sz w:val="24"/>
          <w:szCs w:val="24"/>
        </w:rPr>
        <w:fldChar w:fldCharType="separate"/>
      </w:r>
      <w:r w:rsidR="00D55572" w:rsidRPr="00B93802">
        <w:rPr>
          <w:rFonts w:asciiTheme="majorBidi" w:hAnsiTheme="majorBidi" w:cstheme="majorBidi"/>
          <w:noProof/>
          <w:sz w:val="24"/>
          <w:szCs w:val="24"/>
        </w:rPr>
        <w:t>(Kondhare et al., 2021)</w:t>
      </w:r>
      <w:r w:rsidR="00D55572" w:rsidRPr="00B93802">
        <w:rPr>
          <w:rFonts w:asciiTheme="majorBidi" w:hAnsiTheme="majorBidi" w:cstheme="majorBidi"/>
          <w:sz w:val="24"/>
          <w:szCs w:val="24"/>
        </w:rPr>
        <w:fldChar w:fldCharType="end"/>
      </w:r>
      <w:r w:rsidR="00D55572" w:rsidRPr="00B93802">
        <w:rPr>
          <w:rFonts w:asciiTheme="majorBidi" w:hAnsiTheme="majorBidi" w:cstheme="majorBidi"/>
          <w:sz w:val="24"/>
          <w:szCs w:val="24"/>
        </w:rPr>
        <w:t>.</w:t>
      </w:r>
      <w:r w:rsidR="00FD1449" w:rsidRPr="00B93802">
        <w:rPr>
          <w:rFonts w:asciiTheme="majorBidi" w:hAnsiTheme="majorBidi" w:cstheme="majorBidi"/>
          <w:sz w:val="24"/>
          <w:szCs w:val="24"/>
        </w:rPr>
        <w:t xml:space="preserve"> </w:t>
      </w:r>
      <w:r w:rsidR="00D74128" w:rsidRPr="00B93802">
        <w:rPr>
          <w:rFonts w:asciiTheme="majorBidi" w:hAnsiTheme="majorBidi" w:cstheme="majorBidi"/>
          <w:sz w:val="24"/>
          <w:szCs w:val="24"/>
        </w:rPr>
        <w:t xml:space="preserve">The evolution of C4 plants from their C3 ancestors </w:t>
      </w:r>
      <w:r w:rsidR="00D74128" w:rsidRPr="00B93802">
        <w:rPr>
          <w:rFonts w:asciiTheme="majorBidi" w:hAnsiTheme="majorBidi" w:cstheme="majorBidi"/>
          <w:sz w:val="24"/>
          <w:szCs w:val="24"/>
          <w:lang w:bidi="fa-IR"/>
        </w:rPr>
        <w:t xml:space="preserve">has been attributed to the process of recruiting and re-organizing pre-existing genes to have new functions in C4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&lt;EndNote&gt;&lt;Cite&gt;&lt;Author&gt;Burgess&lt;/Author&gt;&lt;Year&gt;2016&lt;/Year&gt;&lt;RecNum&gt;97&lt;/RecNum&gt;&lt;DisplayText&gt;(Burgess et al., 2016; Lyu et al., 2020)&lt;/DisplayText&gt;&lt;record&gt;&lt;rec-number&gt;97&lt;/rec-number&gt;&lt;foreign-keys&gt;&lt;key app="EN" db-id="9dszea9edr0dzlew5s050zv6s9zr9esdf9zx" timestamp="1675739872"&gt;97&lt;/key&gt;&lt;/foreign-keys&gt;&lt;ref-type name="Journal Article"&gt;17&lt;/ref-type&gt;&lt;contributors&gt;&lt;authors&gt;&lt;author&gt;Burgess, Steven J&lt;/author&gt;&lt;author&gt;Granero-Moya, Ignasi&lt;/author&gt;&lt;author&gt;Grangé-Guermente, Mathieu J&lt;/author&gt;&lt;author&gt;Boursnell, Chris&lt;/author&gt;&lt;author&gt;Terry, Matthew J&lt;/author&gt;&lt;author&gt;Hibberd, Julian M&lt;/author&gt;&lt;/authors&gt;&lt;/contributors&gt;&lt;titles&gt;&lt;title&gt;Ancestral light and chloroplast regulation form the foundations for C4 gene expression&lt;/title&gt;&lt;secondary-title&gt;Nature Plants&lt;/secondary-title&gt;&lt;/titles&gt;&lt;periodical&gt;&lt;full-title&gt;Nature Plants&lt;/full-title&gt;&lt;/periodical&gt;&lt;pages&gt;1-6&lt;/pages&gt;&lt;volume&gt;2&lt;/volume&gt;&lt;number&gt;11&lt;/number&gt;&lt;dates&gt;&lt;year&gt;2016&lt;/year&gt;&lt;/dates&gt;&lt;isbn&gt;2055-0278&lt;/isbn&gt;&lt;urls&gt;&lt;/urls&gt;&lt;/record&gt;&lt;/Cite&gt;&lt;Cite&gt;&lt;Author&gt;Lyu&lt;/Author&gt;&lt;Year&gt;2020&lt;/Year&gt;&lt;RecNum&gt;98&lt;/RecNum&gt;&lt;record&gt;&lt;rec-number&gt;98&lt;/rec-number&gt;&lt;foreign-keys&gt;&lt;key app="EN" db-id="9dszea9edr0dzlew5s050zv6s9zr9esdf9zx" timestamp="1675739909"&gt;98&lt;/key&gt;&lt;/foreign-keys&gt;&lt;ref-type name="Journal Article"&gt;17&lt;/ref-type&gt;&lt;contributors&gt;&lt;authors&gt;&lt;author&gt;Lyu, Ming-Ju Amy&lt;/author&gt;&lt;author&gt;Wang, Yaling&lt;/author&gt;&lt;author&gt;Jiang, Jianjun&lt;/author&gt;&lt;author&gt;Liu, Xinyu&lt;/author&gt;&lt;author&gt;Chen, Genyun&lt;/author&gt;&lt;author&gt;Zhu, Xin-Guang&lt;/author&gt;&lt;/authors&gt;&lt;/contributors&gt;&lt;titles&gt;&lt;title&gt;What Matters for C4 Transporters: Evolutionary Changes of Phospho enol pyruvate Transporter for C4 Photosynthesis&lt;/title&gt;&lt;secondary-title&gt;Frontiers in Plant Science&lt;/secondary-title&gt;&lt;/titles&gt;&lt;periodical&gt;&lt;full-title&gt;Frontiers in plant science&lt;/full-title&gt;&lt;/periodical&gt;&lt;pages&gt;935&lt;/pages&gt;&lt;volume&gt;11&lt;/volume&gt;&lt;dates&gt;&lt;year&gt;2020&lt;/year&gt;&lt;/dates&gt;&lt;isbn&gt;1664-462X&lt;/isbn&gt;&lt;urls&gt;&lt;/urls&gt;&lt;/record&gt;&lt;/Cite&gt;&lt;/EndNote&gt;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(Burgess et al., 2016; Lyu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 xml:space="preserve">. Besides that, some morphological changes such as increasing the plasmodesmata intense between mesophyll and bundle sheath cells and the vein density have been well reported in C4 plants </w:t>
      </w:r>
      <w:r w:rsidR="00D74128" w:rsidRPr="00B93802">
        <w:rPr>
          <w:rFonts w:asciiTheme="majorBidi" w:hAnsiTheme="majorBidi" w:cstheme="majorBidi"/>
          <w:sz w:val="24"/>
          <w:szCs w:val="24"/>
          <w:lang w:bidi="fa-IR"/>
        </w:rPr>
        <w:lastRenderedPageBreak/>
        <w:t xml:space="preserve">compared with their close phylogenetically C3 plants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&lt;EndNote&gt;&lt;Cite&gt;&lt;Author&gt;Khoshravesh&lt;/Author&gt;&lt;Year&gt;2020&lt;/Year&gt;&lt;RecNum&gt;99&lt;/RecNum&gt;&lt;DisplayText&gt;(Khoshravesh et al., 2020)&lt;/DisplayText&gt;&lt;record&gt;&lt;rec-number&gt;99&lt;/rec-number&gt;&lt;foreign-keys&gt;&lt;key app="EN" db-id="9dszea9edr0dzlew5s050zv6s9zr9esdf9zx" timestamp="1675739978"&gt;99&lt;/key&gt;&lt;/foreign-keys&gt;&lt;ref-type name="Journal Article"&gt;17&lt;/ref-type&gt;&lt;contributors&gt;&lt;authors&gt;&lt;author&gt;Khoshravesh, Roxana&lt;/author&gt;&lt;author&gt;Stata, Matt&lt;/author&gt;&lt;author&gt;Busch, Florian A&lt;/author&gt;&lt;author&gt;Saladié, Montserrat&lt;/author&gt;&lt;author&gt;Castelli, Joanne M&lt;/author&gt;&lt;author&gt;Dakin, Nicole&lt;/author&gt;&lt;author&gt;Hattersley, Paul W&lt;/author&gt;&lt;author&gt;Macfarlane, Terry D&lt;/author&gt;&lt;author&gt;Sage, Rowan F&lt;/author&gt;&lt;author&gt;Ludwig, Martha&lt;/author&gt;&lt;/authors&gt;&lt;/contributors&gt;&lt;titles&gt;&lt;title&gt;The evolutionary origin of C4 photosynthesis in the grass subtribe Neurachninae&lt;/title&gt;&lt;secondary-title&gt;Plant Physiology&lt;/secondary-title&gt;&lt;/titles&gt;&lt;periodical&gt;&lt;full-title&gt;Plant Physiology&lt;/full-title&gt;&lt;/periodical&gt;&lt;pages&gt;566-583&lt;/pages&gt;&lt;volume&gt;182&lt;/volume&gt;&lt;number&gt;1&lt;/number&gt;&lt;dates&gt;&lt;year&gt;2020&lt;/year&gt;&lt;/dates&gt;&lt;isbn&gt;1532-2548&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(Khoshravesh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w:t>
      </w:r>
      <w:r w:rsidR="00710BA6" w:rsidRPr="00B93802">
        <w:rPr>
          <w:rFonts w:asciiTheme="majorBidi" w:hAnsiTheme="majorBidi" w:cstheme="majorBidi"/>
          <w:sz w:val="24"/>
          <w:szCs w:val="24"/>
          <w:lang w:bidi="fa-IR"/>
        </w:rPr>
        <w:t xml:space="preserve"> </w:t>
      </w:r>
      <w:r w:rsidR="00441F46" w:rsidRPr="00B93802">
        <w:rPr>
          <w:rFonts w:asciiTheme="majorBidi" w:hAnsiTheme="majorBidi" w:cstheme="majorBidi"/>
          <w:sz w:val="24"/>
          <w:szCs w:val="24"/>
          <w:lang w:bidi="fa-IR"/>
        </w:rPr>
        <w:t xml:space="preserve">Therefore, heterografting of C3 and C4 plants would be an interesting tool to assess how transmission of RNAs from C3 and C4 parts could pose changes in heterografts compared to their homograft samples. </w:t>
      </w:r>
      <w:r w:rsidR="000F3AA7" w:rsidRPr="00B93802">
        <w:rPr>
          <w:rFonts w:asciiTheme="majorBidi" w:hAnsiTheme="majorBidi" w:cstheme="majorBidi"/>
          <w:sz w:val="24"/>
          <w:szCs w:val="24"/>
          <w:lang w:bidi="fa-IR"/>
        </w:rPr>
        <w:t xml:space="preserve">To our knowledge, there is no study on transcriptome profiling of heterografts of C3 and C4 plants, but the previous study investigated the </w:t>
      </w:r>
      <w:r w:rsidR="002A38D8" w:rsidRPr="00B93802">
        <w:rPr>
          <w:rFonts w:asciiTheme="majorBidi" w:hAnsiTheme="majorBidi" w:cstheme="majorBidi"/>
          <w:sz w:val="24"/>
          <w:szCs w:val="24"/>
          <w:lang w:bidi="fa-IR"/>
        </w:rPr>
        <w:t>influence of roots and shoots on GSH metabolism and sulfate assimilation in scion and stock tissue of interspecies C3-C4 grafts</w:t>
      </w:r>
      <w:r w:rsidR="00D318ED" w:rsidRPr="00B93802">
        <w:rPr>
          <w:rFonts w:asciiTheme="majorBidi" w:hAnsiTheme="majorBidi" w:cstheme="majorBidi"/>
          <w:sz w:val="24"/>
          <w:szCs w:val="24"/>
          <w:lang w:bidi="fa-IR"/>
        </w:rPr>
        <w:t xml:space="preserve">. The results showed that roots </w:t>
      </w:r>
      <w:r w:rsidR="00071581" w:rsidRPr="00B93802">
        <w:rPr>
          <w:rFonts w:asciiTheme="majorBidi" w:hAnsiTheme="majorBidi" w:cstheme="majorBidi"/>
          <w:sz w:val="24"/>
          <w:szCs w:val="24"/>
          <w:lang w:bidi="fa-IR"/>
        </w:rPr>
        <w:t>are predominantly controlling the S root-to</w:t>
      </w:r>
      <w:r w:rsidR="00612C1A" w:rsidRPr="00B93802">
        <w:rPr>
          <w:rFonts w:asciiTheme="majorBidi" w:hAnsiTheme="majorBidi" w:cstheme="majorBidi"/>
          <w:sz w:val="24"/>
          <w:szCs w:val="24"/>
          <w:lang w:bidi="fa-IR"/>
        </w:rPr>
        <w:t>-</w:t>
      </w:r>
      <w:r w:rsidR="00071581" w:rsidRPr="00B93802">
        <w:rPr>
          <w:rFonts w:asciiTheme="majorBidi" w:hAnsiTheme="majorBidi" w:cstheme="majorBidi"/>
          <w:sz w:val="24"/>
          <w:szCs w:val="24"/>
          <w:lang w:bidi="fa-IR"/>
        </w:rPr>
        <w:t>shoot translocation. Also, they figured out that C4 plants are ad</w:t>
      </w:r>
      <w:r w:rsidR="00612C1A" w:rsidRPr="00B93802">
        <w:rPr>
          <w:rFonts w:asciiTheme="majorBidi" w:hAnsiTheme="majorBidi" w:cstheme="majorBidi"/>
          <w:sz w:val="24"/>
          <w:szCs w:val="24"/>
          <w:lang w:bidi="fa-IR"/>
        </w:rPr>
        <w:t>a</w:t>
      </w:r>
      <w:r w:rsidR="00071581" w:rsidRPr="00B93802">
        <w:rPr>
          <w:rFonts w:asciiTheme="majorBidi" w:hAnsiTheme="majorBidi" w:cstheme="majorBidi"/>
          <w:sz w:val="24"/>
          <w:szCs w:val="24"/>
          <w:lang w:bidi="fa-IR"/>
        </w:rPr>
        <w:t>pted</w:t>
      </w:r>
      <w:r w:rsidR="00612C1A" w:rsidRPr="00B93802">
        <w:rPr>
          <w:rFonts w:asciiTheme="majorBidi" w:hAnsiTheme="majorBidi" w:cstheme="majorBidi"/>
          <w:sz w:val="24"/>
          <w:szCs w:val="24"/>
          <w:lang w:bidi="fa-IR"/>
        </w:rPr>
        <w:t xml:space="preserve"> to lower sulfate content in </w:t>
      </w:r>
      <w:r w:rsidR="007146EA" w:rsidRPr="00B93802">
        <w:rPr>
          <w:rFonts w:asciiTheme="majorBidi" w:hAnsiTheme="majorBidi" w:cstheme="majorBidi"/>
          <w:sz w:val="24"/>
          <w:szCs w:val="24"/>
          <w:lang w:bidi="fa-IR"/>
        </w:rPr>
        <w:t xml:space="preserve">the </w:t>
      </w:r>
      <w:r w:rsidR="00612C1A" w:rsidRPr="00B93802">
        <w:rPr>
          <w:rFonts w:asciiTheme="majorBidi" w:hAnsiTheme="majorBidi" w:cstheme="majorBidi"/>
          <w:sz w:val="24"/>
          <w:szCs w:val="24"/>
          <w:lang w:bidi="fa-IR"/>
        </w:rPr>
        <w:t xml:space="preserve">shoot as the C4 scions decreased the </w:t>
      </w:r>
      <w:r w:rsidR="00612C1A" w:rsidRPr="00B93802">
        <w:rPr>
          <w:rFonts w:asciiTheme="majorBidi" w:hAnsiTheme="majorBidi" w:cstheme="majorBidi"/>
          <w:i/>
          <w:iCs/>
          <w:sz w:val="24"/>
          <w:szCs w:val="24"/>
          <w:lang w:bidi="fa-IR"/>
        </w:rPr>
        <w:t>SULT2.1</w:t>
      </w:r>
      <w:r w:rsidR="00612C1A" w:rsidRPr="00B93802">
        <w:rPr>
          <w:rFonts w:asciiTheme="majorBidi" w:hAnsiTheme="majorBidi" w:cstheme="majorBidi"/>
          <w:sz w:val="24"/>
          <w:szCs w:val="24"/>
          <w:lang w:bidi="fa-IR"/>
        </w:rPr>
        <w:t xml:space="preserve"> expression in C3 stock of C4/C3 grafts</w:t>
      </w:r>
      <w:r w:rsidR="007146EA" w:rsidRPr="00B93802">
        <w:rPr>
          <w:rFonts w:asciiTheme="majorBidi" w:hAnsiTheme="majorBidi" w:cstheme="majorBidi"/>
          <w:sz w:val="24"/>
          <w:szCs w:val="24"/>
          <w:lang w:bidi="fa-IR"/>
        </w:rPr>
        <w:t xml:space="preserve"> rather than C3/C3 homograft. In fact, C4 scion induced the expression level of </w:t>
      </w:r>
      <w:r w:rsidR="007146EA" w:rsidRPr="00B93802">
        <w:rPr>
          <w:rFonts w:asciiTheme="majorBidi" w:hAnsiTheme="majorBidi" w:cstheme="majorBidi"/>
          <w:i/>
          <w:iCs/>
          <w:sz w:val="24"/>
          <w:szCs w:val="24"/>
          <w:lang w:bidi="fa-IR"/>
        </w:rPr>
        <w:t>SULTR2.1</w:t>
      </w:r>
      <w:r w:rsidR="007146EA" w:rsidRPr="00B93802">
        <w:rPr>
          <w:rFonts w:asciiTheme="majorBidi" w:hAnsiTheme="majorBidi" w:cstheme="majorBidi"/>
          <w:sz w:val="24"/>
          <w:szCs w:val="24"/>
          <w:lang w:bidi="fa-IR"/>
        </w:rPr>
        <w:t xml:space="preserve"> in C3 stock by long-distance signaling</w:t>
      </w:r>
      <w:r w:rsidR="00071581" w:rsidRPr="00B93802">
        <w:rPr>
          <w:rFonts w:asciiTheme="majorBidi" w:hAnsiTheme="majorBidi" w:cstheme="majorBidi"/>
          <w:sz w:val="24"/>
          <w:szCs w:val="24"/>
          <w:lang w:bidi="fa-IR"/>
        </w:rPr>
        <w:t xml:space="preserve"> </w:t>
      </w:r>
      <w:r w:rsidR="007146EA" w:rsidRPr="00B93802">
        <w:rPr>
          <w:rFonts w:asciiTheme="majorBidi" w:hAnsiTheme="majorBidi" w:cstheme="majorBidi"/>
          <w:sz w:val="24"/>
          <w:szCs w:val="24"/>
          <w:lang w:bidi="fa-IR"/>
        </w:rPr>
        <w:fldChar w:fldCharType="begin"/>
      </w:r>
      <w:r w:rsidR="007146EA" w:rsidRPr="00B93802">
        <w:rPr>
          <w:rFonts w:asciiTheme="majorBidi" w:hAnsiTheme="majorBidi" w:cstheme="majorBidi"/>
          <w:sz w:val="24"/>
          <w:szCs w:val="24"/>
          <w:lang w:bidi="fa-IR"/>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7146EA" w:rsidRPr="00B93802">
        <w:rPr>
          <w:rFonts w:asciiTheme="majorBidi" w:hAnsiTheme="majorBidi" w:cstheme="majorBidi"/>
          <w:sz w:val="24"/>
          <w:szCs w:val="24"/>
          <w:lang w:bidi="fa-IR"/>
        </w:rPr>
        <w:fldChar w:fldCharType="separate"/>
      </w:r>
      <w:r w:rsidR="007146EA" w:rsidRPr="00B93802">
        <w:rPr>
          <w:rFonts w:asciiTheme="majorBidi" w:hAnsiTheme="majorBidi" w:cstheme="majorBidi"/>
          <w:noProof/>
          <w:sz w:val="24"/>
          <w:szCs w:val="24"/>
          <w:lang w:bidi="fa-IR"/>
        </w:rPr>
        <w:t>(Gerlich et al., 2018)</w:t>
      </w:r>
      <w:r w:rsidR="007146EA" w:rsidRPr="00B93802">
        <w:rPr>
          <w:rFonts w:asciiTheme="majorBidi" w:hAnsiTheme="majorBidi" w:cstheme="majorBidi"/>
          <w:sz w:val="24"/>
          <w:szCs w:val="24"/>
          <w:lang w:bidi="fa-IR"/>
        </w:rPr>
        <w:fldChar w:fldCharType="end"/>
      </w:r>
      <w:r w:rsidR="007146EA" w:rsidRPr="00B93802">
        <w:rPr>
          <w:rFonts w:asciiTheme="majorBidi" w:hAnsiTheme="majorBidi" w:cstheme="majorBidi"/>
          <w:sz w:val="24"/>
          <w:szCs w:val="24"/>
          <w:lang w:bidi="fa-IR"/>
        </w:rPr>
        <w:t>.</w:t>
      </w:r>
      <w:r w:rsidR="00262478" w:rsidRPr="00B93802">
        <w:rPr>
          <w:rFonts w:asciiTheme="majorBidi" w:hAnsiTheme="majorBidi" w:cstheme="majorBidi"/>
          <w:sz w:val="24"/>
          <w:szCs w:val="24"/>
          <w:lang w:bidi="fa-IR"/>
        </w:rPr>
        <w:t xml:space="preserve"> Followed by the previous study, in this paper, we investigated the transcriptome profile of interspecies grafts</w:t>
      </w:r>
      <w:r w:rsidR="0058111D" w:rsidRPr="00B93802">
        <w:rPr>
          <w:rFonts w:asciiTheme="majorBidi" w:hAnsiTheme="majorBidi" w:cstheme="majorBidi"/>
          <w:sz w:val="24"/>
          <w:szCs w:val="24"/>
          <w:lang w:bidi="fa-IR"/>
        </w:rPr>
        <w:t xml:space="preserve"> from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bidentis</w:t>
      </w:r>
      <w:proofErr w:type="spellEnd"/>
      <w:r w:rsidR="0058111D" w:rsidRPr="00B93802">
        <w:rPr>
          <w:rFonts w:asciiTheme="majorBidi" w:hAnsiTheme="majorBidi" w:cstheme="majorBidi"/>
          <w:sz w:val="24"/>
          <w:szCs w:val="24"/>
          <w:lang w:bidi="fa-IR"/>
        </w:rPr>
        <w:t xml:space="preserve"> (C4) and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robusta</w:t>
      </w:r>
      <w:proofErr w:type="spellEnd"/>
      <w:r w:rsidR="0058111D" w:rsidRPr="00B93802">
        <w:rPr>
          <w:rFonts w:asciiTheme="majorBidi" w:hAnsiTheme="majorBidi" w:cstheme="majorBidi"/>
          <w:sz w:val="24"/>
          <w:szCs w:val="24"/>
          <w:lang w:bidi="fa-IR"/>
        </w:rPr>
        <w:t xml:space="preserve"> (C3)</w:t>
      </w:r>
      <w:r w:rsidR="00262478" w:rsidRPr="00B93802">
        <w:rPr>
          <w:rFonts w:asciiTheme="majorBidi" w:hAnsiTheme="majorBidi" w:cstheme="majorBidi"/>
          <w:sz w:val="24"/>
          <w:szCs w:val="24"/>
          <w:lang w:bidi="fa-IR"/>
        </w:rPr>
        <w:t xml:space="preserve"> by RNA-seq</w:t>
      </w:r>
      <w:r w:rsidR="004519E4" w:rsidRPr="00B93802">
        <w:rPr>
          <w:rFonts w:asciiTheme="majorBidi" w:hAnsiTheme="majorBidi" w:cstheme="majorBidi"/>
          <w:sz w:val="24"/>
          <w:szCs w:val="24"/>
          <w:lang w:bidi="fa-IR"/>
        </w:rPr>
        <w:t xml:space="preserve"> to identification of transmitted RNAs that might be involved in the phenotypic and physiological changes in the heterografts. To do so, we created de novo assemblies from tissues obtained from </w:t>
      </w:r>
      <w:proofErr w:type="spellStart"/>
      <w:r w:rsidR="004519E4" w:rsidRPr="00B93802">
        <w:rPr>
          <w:rFonts w:asciiTheme="majorBidi" w:hAnsiTheme="majorBidi" w:cstheme="majorBidi"/>
          <w:sz w:val="24"/>
          <w:szCs w:val="24"/>
          <w:lang w:bidi="fa-IR"/>
        </w:rPr>
        <w:t>homografts</w:t>
      </w:r>
      <w:proofErr w:type="spellEnd"/>
      <w:r w:rsidR="004519E4" w:rsidRPr="00B93802">
        <w:rPr>
          <w:rFonts w:asciiTheme="majorBidi" w:hAnsiTheme="majorBidi" w:cstheme="majorBidi"/>
          <w:sz w:val="24"/>
          <w:szCs w:val="24"/>
          <w:lang w:bidi="fa-IR"/>
        </w:rPr>
        <w:t xml:space="preserve"> and determined the differentially expressed genes in homo- and hetero-grafts. Also, by </w:t>
      </w:r>
      <w:r w:rsidR="00557B69" w:rsidRPr="00B93802">
        <w:rPr>
          <w:rFonts w:asciiTheme="majorBidi" w:hAnsiTheme="majorBidi" w:cstheme="majorBidi"/>
          <w:sz w:val="24"/>
          <w:szCs w:val="24"/>
          <w:lang w:bidi="fa-IR"/>
        </w:rPr>
        <w:t xml:space="preserve">the alignment of short reads from </w:t>
      </w:r>
    </w:p>
    <w:p w14:paraId="1E6C0EED" w14:textId="328566AD" w:rsidR="00D5668A" w:rsidRPr="00B93802" w:rsidRDefault="00D5668A" w:rsidP="001C02A0">
      <w:pPr>
        <w:jc w:val="both"/>
        <w:rPr>
          <w:rFonts w:asciiTheme="majorBidi" w:hAnsiTheme="majorBidi" w:cstheme="majorBidi"/>
          <w:sz w:val="24"/>
          <w:szCs w:val="24"/>
        </w:rPr>
      </w:pPr>
    </w:p>
    <w:p w14:paraId="78958DA9" w14:textId="77777777"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Material and method</w:t>
      </w:r>
    </w:p>
    <w:p w14:paraId="20E2142A" w14:textId="113A3ACE" w:rsidR="00D15847" w:rsidRPr="00B93802" w:rsidRDefault="00D15847"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Plant material</w:t>
      </w:r>
      <w:r w:rsidR="00BC0555" w:rsidRPr="00B93802">
        <w:rPr>
          <w:rFonts w:asciiTheme="majorBidi" w:hAnsiTheme="majorBidi" w:cstheme="majorBidi"/>
          <w:b/>
          <w:bCs/>
          <w:sz w:val="24"/>
          <w:szCs w:val="24"/>
        </w:rPr>
        <w:t xml:space="preserve"> and sampling</w:t>
      </w:r>
    </w:p>
    <w:p w14:paraId="3556373D" w14:textId="057B9D8B" w:rsidR="00D15847" w:rsidRPr="00B93802" w:rsidRDefault="005F7929"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Interspecies micrografting from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robusta</w:t>
      </w:r>
      <w:proofErr w:type="spellEnd"/>
      <w:r w:rsidR="0058111D" w:rsidRPr="00B93802">
        <w:rPr>
          <w:rFonts w:asciiTheme="majorBidi" w:hAnsiTheme="majorBidi" w:cstheme="majorBidi"/>
          <w:sz w:val="24"/>
          <w:szCs w:val="24"/>
        </w:rPr>
        <w:t xml:space="preserve"> and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bidentis</w:t>
      </w:r>
      <w:proofErr w:type="spellEnd"/>
      <w:r w:rsidR="0058111D" w:rsidRPr="00B93802">
        <w:rPr>
          <w:rFonts w:asciiTheme="majorBidi" w:hAnsiTheme="majorBidi" w:cstheme="majorBidi"/>
          <w:sz w:val="24"/>
          <w:szCs w:val="24"/>
        </w:rPr>
        <w:t xml:space="preserve"> was conducted as explained in previous study </w:t>
      </w:r>
      <w:r w:rsidR="0058111D" w:rsidRPr="00B93802">
        <w:rPr>
          <w:rFonts w:asciiTheme="majorBidi" w:hAnsiTheme="majorBidi" w:cstheme="majorBidi"/>
          <w:sz w:val="24"/>
          <w:szCs w:val="24"/>
        </w:rPr>
        <w:fldChar w:fldCharType="begin"/>
      </w:r>
      <w:r w:rsidR="0058111D" w:rsidRPr="00B93802">
        <w:rPr>
          <w:rFonts w:asciiTheme="majorBidi" w:hAnsiTheme="majorBidi" w:cstheme="majorBidi"/>
          <w:sz w:val="24"/>
          <w:szCs w:val="24"/>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58111D" w:rsidRPr="00B93802">
        <w:rPr>
          <w:rFonts w:asciiTheme="majorBidi" w:hAnsiTheme="majorBidi" w:cstheme="majorBidi"/>
          <w:sz w:val="24"/>
          <w:szCs w:val="24"/>
        </w:rPr>
        <w:fldChar w:fldCharType="separate"/>
      </w:r>
      <w:r w:rsidR="0058111D" w:rsidRPr="00B93802">
        <w:rPr>
          <w:rFonts w:asciiTheme="majorBidi" w:hAnsiTheme="majorBidi" w:cstheme="majorBidi"/>
          <w:noProof/>
          <w:sz w:val="24"/>
          <w:szCs w:val="24"/>
        </w:rPr>
        <w:t>(Gerlich et al., 2018)</w:t>
      </w:r>
      <w:r w:rsidR="0058111D" w:rsidRPr="00B93802">
        <w:rPr>
          <w:rFonts w:asciiTheme="majorBidi" w:hAnsiTheme="majorBidi" w:cstheme="majorBidi"/>
          <w:sz w:val="24"/>
          <w:szCs w:val="24"/>
        </w:rPr>
        <w:fldChar w:fldCharType="end"/>
      </w:r>
      <w:r w:rsidR="00DF477D" w:rsidRPr="00B93802">
        <w:rPr>
          <w:rFonts w:asciiTheme="majorBidi" w:hAnsiTheme="majorBidi" w:cstheme="majorBidi"/>
          <w:sz w:val="24"/>
          <w:szCs w:val="24"/>
        </w:rPr>
        <w:t>. So, we had four different seedlings</w:t>
      </w:r>
      <w:r w:rsidR="00497826" w:rsidRPr="00B93802">
        <w:rPr>
          <w:rFonts w:asciiTheme="majorBidi" w:hAnsiTheme="majorBidi" w:cstheme="majorBidi"/>
          <w:sz w:val="24"/>
          <w:szCs w:val="24"/>
        </w:rPr>
        <w:t xml:space="preserve"> growing in normal conditions</w:t>
      </w:r>
      <w:r w:rsidR="00DF477D" w:rsidRPr="00B93802">
        <w:rPr>
          <w:rFonts w:asciiTheme="majorBidi" w:hAnsiTheme="majorBidi" w:cstheme="majorBidi"/>
          <w:sz w:val="24"/>
          <w:szCs w:val="24"/>
        </w:rPr>
        <w:t xml:space="preserve">; two </w:t>
      </w:r>
      <w:proofErr w:type="spellStart"/>
      <w:r w:rsidR="00DF477D" w:rsidRPr="00B93802">
        <w:rPr>
          <w:rFonts w:asciiTheme="majorBidi" w:hAnsiTheme="majorBidi" w:cstheme="majorBidi"/>
          <w:sz w:val="24"/>
          <w:szCs w:val="24"/>
        </w:rPr>
        <w:t>homografts</w:t>
      </w:r>
      <w:proofErr w:type="spellEnd"/>
      <w:r w:rsidR="00DF477D" w:rsidRPr="00B93802">
        <w:rPr>
          <w:rFonts w:asciiTheme="majorBidi" w:hAnsiTheme="majorBidi" w:cstheme="majorBidi"/>
          <w:sz w:val="24"/>
          <w:szCs w:val="24"/>
        </w:rPr>
        <w:t xml:space="preserve"> (C3/C3, C4/C4) and two reciprocal heterografts, C4 scion/C3 stock (C4/C3), and C3 scion/C4 stock (C3/C4)</w:t>
      </w:r>
      <w:r w:rsidR="001C02A0" w:rsidRPr="00B93802">
        <w:rPr>
          <w:rFonts w:asciiTheme="majorBidi" w:hAnsiTheme="majorBidi" w:cstheme="majorBidi"/>
          <w:sz w:val="24"/>
          <w:szCs w:val="24"/>
        </w:rPr>
        <w:t xml:space="preserve">. </w:t>
      </w:r>
      <w:r w:rsidR="00497826" w:rsidRPr="00B93802">
        <w:rPr>
          <w:rFonts w:asciiTheme="majorBidi" w:hAnsiTheme="majorBidi" w:cstheme="majorBidi"/>
          <w:sz w:val="24"/>
          <w:szCs w:val="24"/>
        </w:rPr>
        <w:t xml:space="preserve">The RNA extraction was performed for both root and shoot from each seedling type with three biological replication. </w:t>
      </w:r>
      <w:r w:rsidR="00317A37" w:rsidRPr="00B93802">
        <w:rPr>
          <w:rFonts w:asciiTheme="majorBidi" w:hAnsiTheme="majorBidi" w:cstheme="majorBidi"/>
          <w:sz w:val="24"/>
          <w:szCs w:val="24"/>
        </w:rPr>
        <w:t>Sequencing was conducted by …. Company and some information about quality and order</w:t>
      </w:r>
    </w:p>
    <w:p w14:paraId="1C688B67" w14:textId="46B8214B"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De novo assembly</w:t>
      </w:r>
    </w:p>
    <w:p w14:paraId="69E057BB" w14:textId="7E793A18" w:rsidR="00A11335" w:rsidRPr="00B93802" w:rsidRDefault="00D5668A" w:rsidP="00E152BD">
      <w:pPr>
        <w:jc w:val="both"/>
        <w:rPr>
          <w:rFonts w:asciiTheme="majorBidi" w:hAnsiTheme="majorBidi" w:cstheme="majorBidi"/>
          <w:sz w:val="24"/>
          <w:szCs w:val="24"/>
        </w:rPr>
      </w:pPr>
      <w:r w:rsidRPr="00B93802">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sidRPr="00B93802">
        <w:rPr>
          <w:rFonts w:asciiTheme="majorBidi" w:hAnsiTheme="majorBidi" w:cstheme="majorBidi"/>
          <w:sz w:val="24"/>
          <w:szCs w:val="24"/>
        </w:rPr>
        <w:t>FastQC</w:t>
      </w:r>
      <w:proofErr w:type="spellEnd"/>
      <w:r w:rsidRPr="00B93802">
        <w:rPr>
          <w:rFonts w:asciiTheme="majorBidi" w:hAnsiTheme="majorBidi" w:cstheme="majorBidi"/>
          <w:sz w:val="24"/>
          <w:szCs w:val="24"/>
        </w:rPr>
        <w:t xml:space="preserve"> package. Afterwards, trimming of the raw sequences were conducted using </w:t>
      </w:r>
      <w:proofErr w:type="spellStart"/>
      <w:r w:rsidRPr="00B93802">
        <w:rPr>
          <w:rFonts w:asciiTheme="majorBidi" w:hAnsiTheme="majorBidi" w:cstheme="majorBidi"/>
          <w:sz w:val="24"/>
          <w:szCs w:val="24"/>
        </w:rPr>
        <w:t>Trimmomatic</w:t>
      </w:r>
      <w:proofErr w:type="spellEnd"/>
      <w:r w:rsidRPr="00B93802">
        <w:rPr>
          <w:rFonts w:asciiTheme="majorBidi" w:hAnsiTheme="majorBidi" w:cstheme="majorBidi"/>
          <w:sz w:val="24"/>
          <w:szCs w:val="24"/>
        </w:rPr>
        <w:t xml:space="preserve"> with parameters: SLIDINGWINDOW:4:15, CROP:50, and HEADCROP:10.</w:t>
      </w:r>
      <w:r w:rsidR="00E152BD" w:rsidRPr="00B93802">
        <w:rPr>
          <w:rFonts w:asciiTheme="majorBidi" w:hAnsiTheme="majorBidi" w:cstheme="majorBidi"/>
          <w:sz w:val="24"/>
          <w:szCs w:val="24"/>
        </w:rPr>
        <w:t xml:space="preserve"> As there is no reference genome for </w:t>
      </w:r>
      <w:proofErr w:type="spellStart"/>
      <w:r w:rsidR="00E152BD" w:rsidRPr="00B93802">
        <w:rPr>
          <w:rFonts w:asciiTheme="majorBidi" w:hAnsiTheme="majorBidi" w:cstheme="majorBidi"/>
          <w:sz w:val="24"/>
          <w:szCs w:val="24"/>
        </w:rPr>
        <w:t>Flaveria</w:t>
      </w:r>
      <w:proofErr w:type="spellEnd"/>
      <w:r w:rsidR="00E152BD" w:rsidRPr="00B93802">
        <w:rPr>
          <w:rFonts w:asciiTheme="majorBidi" w:hAnsiTheme="majorBidi" w:cstheme="majorBidi"/>
          <w:sz w:val="24"/>
          <w:szCs w:val="24"/>
        </w:rPr>
        <w:t xml:space="preserve">, we had to run Trinity </w:t>
      </w:r>
      <w:r w:rsidR="00E152BD" w:rsidRPr="00B93802">
        <w:rPr>
          <w:rFonts w:asciiTheme="majorBidi" w:hAnsiTheme="majorBidi" w:cstheme="majorBidi"/>
          <w:sz w:val="24"/>
          <w:szCs w:val="24"/>
        </w:rPr>
        <w:fldChar w:fldCharType="begin"/>
      </w:r>
      <w:r w:rsidR="00E152BD" w:rsidRPr="00B93802">
        <w:rPr>
          <w:rFonts w:asciiTheme="majorBidi" w:hAnsiTheme="majorBidi" w:cstheme="majorBidi"/>
          <w:sz w:val="24"/>
          <w:szCs w:val="24"/>
        </w:rPr>
        <w:instrText xml:space="preserve"> ADDIN EN.CITE &lt;EndNote&gt;&lt;Cite&gt;&lt;Author&gt;Grabherr&lt;/Author&gt;&lt;Year&gt;2011&lt;/Year&gt;&lt;RecNum&gt;100&lt;/RecNum&gt;&lt;DisplayText&gt;(Grabherr et al., 2011)&lt;/DisplayText&gt;&lt;record&gt;&lt;rec-number&gt;100&lt;/rec-number&gt;&lt;foreign-keys&gt;&lt;key app="EN" db-id="9dszea9edr0dzlew5s050zv6s9zr9esdf9zx" timestamp="1675774007"&gt;100&lt;/key&gt;&lt;/foreign-keys&gt;&lt;ref-type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Qiandong&lt;/author&gt;&lt;/authors&gt;&lt;/contributors&gt;&lt;titles&gt;&lt;title&gt;Full-length transcriptome assembly from RNA-Seq data without a reference genome&lt;/title&gt;&lt;secondary-title&gt;Nature biotechnology&lt;/secondary-title&gt;&lt;/titles&gt;&lt;periodical&gt;&lt;full-title&gt;Nature biotechnology&lt;/full-title&gt;&lt;/periodical&gt;&lt;pages&gt;644-652&lt;/pages&gt;&lt;volume&gt;29&lt;/volume&gt;&lt;number&gt;7&lt;/number&gt;&lt;dates&gt;&lt;year&gt;2011&lt;/year&gt;&lt;/dates&gt;&lt;isbn&gt;1087-0156&lt;/isbn&gt;&lt;urls&gt;&lt;/urls&gt;&lt;/record&gt;&lt;/Cite&gt;&lt;/EndNote&gt;</w:instrText>
      </w:r>
      <w:r w:rsidR="00E152BD" w:rsidRPr="00B93802">
        <w:rPr>
          <w:rFonts w:asciiTheme="majorBidi" w:hAnsiTheme="majorBidi" w:cstheme="majorBidi"/>
          <w:sz w:val="24"/>
          <w:szCs w:val="24"/>
        </w:rPr>
        <w:fldChar w:fldCharType="separate"/>
      </w:r>
      <w:r w:rsidR="00E152BD" w:rsidRPr="00B93802">
        <w:rPr>
          <w:rFonts w:asciiTheme="majorBidi" w:hAnsiTheme="majorBidi" w:cstheme="majorBidi"/>
          <w:noProof/>
          <w:sz w:val="24"/>
          <w:szCs w:val="24"/>
        </w:rPr>
        <w:t>(Grabherr et al., 2011)</w:t>
      </w:r>
      <w:r w:rsidR="00E152BD" w:rsidRPr="00B93802">
        <w:rPr>
          <w:rFonts w:asciiTheme="majorBidi" w:hAnsiTheme="majorBidi" w:cstheme="majorBidi"/>
          <w:sz w:val="24"/>
          <w:szCs w:val="24"/>
        </w:rPr>
        <w:fldChar w:fldCharType="end"/>
      </w:r>
      <w:r w:rsidR="00E152BD" w:rsidRPr="00B93802">
        <w:rPr>
          <w:rFonts w:asciiTheme="majorBidi" w:hAnsiTheme="majorBidi" w:cstheme="majorBidi"/>
          <w:sz w:val="24"/>
          <w:szCs w:val="24"/>
        </w:rPr>
        <w:t xml:space="preserve"> to create transcriptome de novo assembly using the trimmed </w:t>
      </w:r>
      <w:proofErr w:type="spellStart"/>
      <w:r w:rsidR="00E152BD" w:rsidRPr="00B93802">
        <w:rPr>
          <w:rFonts w:asciiTheme="majorBidi" w:hAnsiTheme="majorBidi" w:cstheme="majorBidi"/>
          <w:sz w:val="24"/>
          <w:szCs w:val="24"/>
        </w:rPr>
        <w:t>fastq</w:t>
      </w:r>
      <w:proofErr w:type="spellEnd"/>
      <w:r w:rsidR="00E152BD" w:rsidRPr="00B93802">
        <w:rPr>
          <w:rFonts w:asciiTheme="majorBidi" w:hAnsiTheme="majorBidi" w:cstheme="majorBidi"/>
          <w:sz w:val="24"/>
          <w:szCs w:val="24"/>
        </w:rPr>
        <w:t xml:space="preserve"> files. We needed two assembly files for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bidentis</w:t>
      </w:r>
      <w:proofErr w:type="spellEnd"/>
      <w:r w:rsidR="00E152BD" w:rsidRPr="00B93802">
        <w:rPr>
          <w:rFonts w:asciiTheme="majorBidi" w:hAnsiTheme="majorBidi" w:cstheme="majorBidi"/>
          <w:sz w:val="24"/>
          <w:szCs w:val="24"/>
        </w:rPr>
        <w:t xml:space="preserve"> and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robusta</w:t>
      </w:r>
      <w:proofErr w:type="spellEnd"/>
      <w:r w:rsidR="00377265" w:rsidRPr="00B93802">
        <w:rPr>
          <w:rFonts w:asciiTheme="majorBidi" w:hAnsiTheme="majorBidi" w:cstheme="majorBidi"/>
          <w:sz w:val="24"/>
          <w:szCs w:val="24"/>
        </w:rPr>
        <w:t xml:space="preserve"> separately to be able to detect the transmitted mRNAs, so, we used </w:t>
      </w:r>
      <w:proofErr w:type="spellStart"/>
      <w:r w:rsidR="00377265" w:rsidRPr="00B93802">
        <w:rPr>
          <w:rFonts w:asciiTheme="majorBidi" w:hAnsiTheme="majorBidi" w:cstheme="majorBidi"/>
          <w:sz w:val="24"/>
          <w:szCs w:val="24"/>
        </w:rPr>
        <w:t>fastq</w:t>
      </w:r>
      <w:proofErr w:type="spellEnd"/>
      <w:r w:rsidR="00377265" w:rsidRPr="00B93802">
        <w:rPr>
          <w:rFonts w:asciiTheme="majorBidi" w:hAnsiTheme="majorBidi" w:cstheme="majorBidi"/>
          <w:sz w:val="24"/>
          <w:szCs w:val="24"/>
        </w:rPr>
        <w:t xml:space="preserve"> files from both root and shoot of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bidentis</w:t>
      </w:r>
      <w:proofErr w:type="spellEnd"/>
      <w:r w:rsidR="00377265" w:rsidRPr="00B93802">
        <w:rPr>
          <w:rFonts w:asciiTheme="majorBidi" w:hAnsiTheme="majorBidi" w:cstheme="majorBidi"/>
          <w:i/>
          <w:iCs/>
          <w:sz w:val="24"/>
          <w:szCs w:val="24"/>
        </w:rPr>
        <w:t xml:space="preserve"> </w:t>
      </w:r>
      <w:r w:rsidR="00377265" w:rsidRPr="00B93802">
        <w:rPr>
          <w:rFonts w:asciiTheme="majorBidi" w:hAnsiTheme="majorBidi" w:cstheme="majorBidi"/>
          <w:sz w:val="24"/>
          <w:szCs w:val="24"/>
        </w:rPr>
        <w:t xml:space="preserve">and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robusta</w:t>
      </w:r>
      <w:proofErr w:type="spellEnd"/>
      <w:r w:rsidR="00377265" w:rsidRPr="00B93802">
        <w:rPr>
          <w:rFonts w:asciiTheme="majorBidi" w:hAnsiTheme="majorBidi" w:cstheme="majorBidi"/>
          <w:i/>
          <w:iCs/>
          <w:sz w:val="24"/>
          <w:szCs w:val="24"/>
        </w:rPr>
        <w:t xml:space="preserve"> </w:t>
      </w:r>
      <w:proofErr w:type="spellStart"/>
      <w:r w:rsidR="00377265" w:rsidRPr="00B93802">
        <w:rPr>
          <w:rFonts w:asciiTheme="majorBidi" w:hAnsiTheme="majorBidi" w:cstheme="majorBidi"/>
          <w:sz w:val="24"/>
          <w:szCs w:val="24"/>
        </w:rPr>
        <w:t>homografts</w:t>
      </w:r>
      <w:proofErr w:type="spellEnd"/>
      <w:r w:rsidR="00377265" w:rsidRPr="00B93802">
        <w:rPr>
          <w:rFonts w:asciiTheme="majorBidi" w:hAnsiTheme="majorBidi" w:cstheme="majorBidi"/>
          <w:sz w:val="24"/>
          <w:szCs w:val="24"/>
        </w:rPr>
        <w:t xml:space="preserve"> to be sure there is no reads related to other species in our assemblies. </w:t>
      </w:r>
      <w:r w:rsidR="00913730" w:rsidRPr="00B93802">
        <w:rPr>
          <w:rFonts w:asciiTheme="majorBidi" w:hAnsiTheme="majorBidi" w:cstheme="majorBidi"/>
          <w:sz w:val="24"/>
          <w:szCs w:val="24"/>
        </w:rPr>
        <w:t xml:space="preserve">Trinity was run with </w:t>
      </w:r>
      <w:proofErr w:type="spellStart"/>
      <w:r w:rsidR="00913730" w:rsidRPr="00B93802">
        <w:rPr>
          <w:rFonts w:asciiTheme="majorBidi" w:hAnsiTheme="majorBidi" w:cstheme="majorBidi"/>
          <w:sz w:val="24"/>
          <w:szCs w:val="24"/>
        </w:rPr>
        <w:t>paarameters</w:t>
      </w:r>
      <w:proofErr w:type="spellEnd"/>
      <w:r w:rsidR="00913730" w:rsidRPr="00B93802">
        <w:rPr>
          <w:rFonts w:asciiTheme="majorBidi" w:hAnsiTheme="majorBidi" w:cstheme="majorBidi"/>
          <w:sz w:val="24"/>
          <w:szCs w:val="24"/>
        </w:rPr>
        <w:t>, including –</w:t>
      </w:r>
      <w:proofErr w:type="spellStart"/>
      <w:r w:rsidR="00913730" w:rsidRPr="00B93802">
        <w:rPr>
          <w:rFonts w:asciiTheme="majorBidi" w:hAnsiTheme="majorBidi" w:cstheme="majorBidi"/>
          <w:sz w:val="24"/>
          <w:szCs w:val="24"/>
        </w:rPr>
        <w:t>samples_file</w:t>
      </w:r>
      <w:proofErr w:type="spellEnd"/>
      <w:r w:rsidR="00913730" w:rsidRPr="00B93802">
        <w:rPr>
          <w:rFonts w:asciiTheme="majorBidi" w:hAnsiTheme="majorBidi" w:cstheme="majorBidi"/>
          <w:sz w:val="24"/>
          <w:szCs w:val="24"/>
        </w:rPr>
        <w:t>, --</w:t>
      </w:r>
      <w:proofErr w:type="spellStart"/>
      <w:r w:rsidR="00913730" w:rsidRPr="00B93802">
        <w:rPr>
          <w:rFonts w:asciiTheme="majorBidi" w:hAnsiTheme="majorBidi" w:cstheme="majorBidi"/>
          <w:sz w:val="24"/>
          <w:szCs w:val="24"/>
        </w:rPr>
        <w:t>SS_lib_type</w:t>
      </w:r>
      <w:proofErr w:type="spellEnd"/>
      <w:r w:rsidR="00913730" w:rsidRPr="00B93802">
        <w:rPr>
          <w:rFonts w:asciiTheme="majorBidi" w:hAnsiTheme="majorBidi" w:cstheme="majorBidi"/>
          <w:sz w:val="24"/>
          <w:szCs w:val="24"/>
        </w:rPr>
        <w:t xml:space="preserve"> and default normalization step.</w:t>
      </w:r>
      <w:r w:rsidR="00861857" w:rsidRPr="00B93802">
        <w:rPr>
          <w:rFonts w:asciiTheme="majorBidi" w:hAnsiTheme="majorBidi" w:cstheme="majorBidi"/>
          <w:sz w:val="24"/>
          <w:szCs w:val="24"/>
        </w:rPr>
        <w:t xml:space="preserve"> The quality of created de novo assemblies was assessed by </w:t>
      </w:r>
      <w:r w:rsidR="005B51C3" w:rsidRPr="00B93802">
        <w:rPr>
          <w:rFonts w:asciiTheme="majorBidi" w:hAnsiTheme="majorBidi" w:cstheme="majorBidi"/>
          <w:sz w:val="24"/>
          <w:szCs w:val="24"/>
        </w:rPr>
        <w:t>contig ExN50 using contig_ExN50</w:t>
      </w:r>
      <w:r w:rsidR="00FF2BDD" w:rsidRPr="00B93802">
        <w:rPr>
          <w:rFonts w:asciiTheme="majorBidi" w:hAnsiTheme="majorBidi" w:cstheme="majorBidi"/>
          <w:sz w:val="24"/>
          <w:szCs w:val="24"/>
        </w:rPr>
        <w:t xml:space="preserve">_statistic.pl script and RNA Seq Read Representation using bowtie2. </w:t>
      </w:r>
      <w:r w:rsidR="00A11335" w:rsidRPr="00B93802">
        <w:rPr>
          <w:rFonts w:asciiTheme="majorBidi" w:hAnsiTheme="majorBidi" w:cstheme="majorBidi"/>
          <w:sz w:val="24"/>
          <w:szCs w:val="24"/>
        </w:rPr>
        <w:t xml:space="preserve">Afterwards, to functionally annotation of obtained contigs, we performed different tools, including </w:t>
      </w:r>
      <w:proofErr w:type="spellStart"/>
      <w:r w:rsidR="00A11335" w:rsidRPr="00B93802">
        <w:rPr>
          <w:rFonts w:asciiTheme="majorBidi" w:hAnsiTheme="majorBidi" w:cstheme="majorBidi"/>
          <w:sz w:val="24"/>
          <w:szCs w:val="24"/>
        </w:rPr>
        <w:t>Transdecoder</w:t>
      </w:r>
      <w:proofErr w:type="spellEnd"/>
      <w:r w:rsidR="00B93802" w:rsidRPr="00B93802">
        <w:rPr>
          <w:rFonts w:asciiTheme="majorBidi" w:hAnsiTheme="majorBidi" w:cstheme="majorBidi"/>
          <w:sz w:val="24"/>
          <w:szCs w:val="24"/>
        </w:rPr>
        <w:t xml:space="preserve"> (</w:t>
      </w:r>
      <w:hyperlink r:id="rId4" w:history="1">
        <w:r w:rsidR="00B93802" w:rsidRPr="00B93802">
          <w:rPr>
            <w:rStyle w:val="Hyperlink"/>
            <w:rFonts w:asciiTheme="majorBidi" w:hAnsiTheme="majorBidi" w:cstheme="majorBidi"/>
            <w:shd w:val="clear" w:color="auto" w:fill="FFFFFF"/>
          </w:rPr>
          <w:t>https://github.com/TransDecoder/TransDecoder</w:t>
        </w:r>
      </w:hyperlink>
      <w:r w:rsidR="00B93802" w:rsidRPr="00B93802">
        <w:rPr>
          <w:rFonts w:asciiTheme="majorBidi" w:hAnsiTheme="majorBidi" w:cstheme="majorBidi"/>
        </w:rPr>
        <w:t>)</w:t>
      </w:r>
      <w:r w:rsidR="00A11335" w:rsidRPr="00B93802">
        <w:rPr>
          <w:rFonts w:asciiTheme="majorBidi" w:hAnsiTheme="majorBidi" w:cstheme="majorBidi"/>
          <w:sz w:val="24"/>
          <w:szCs w:val="24"/>
        </w:rPr>
        <w:t xml:space="preserve"> with default parameters, BLAST against Arabidopsis proteins for sequence homology searching, </w:t>
      </w:r>
      <w:proofErr w:type="spellStart"/>
      <w:r w:rsidR="00A11335" w:rsidRPr="00B93802">
        <w:rPr>
          <w:rFonts w:asciiTheme="majorBidi" w:hAnsiTheme="majorBidi" w:cstheme="majorBidi"/>
          <w:sz w:val="24"/>
          <w:szCs w:val="24"/>
        </w:rPr>
        <w:t>SignalP</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&lt;EndNote&gt;&lt;Cite&gt;&lt;Author&gt;Almagro Armenteros&lt;/Author&gt;&lt;Year&gt;2019&lt;/Year&gt;&lt;RecNum&gt;103&lt;/RecNum&gt;&lt;DisplayText&gt;(Almagro Armenteros et al., 2019)&lt;/DisplayText&gt;&lt;record&gt;&lt;rec-number&gt;103&lt;/rec-number&gt;&lt;foreign-keys&gt;&lt;key app="EN" db-id="9dszea9edr0dzlew5s050zv6s9zr9esdf9zx" timestamp="1675777040"&gt;103&lt;/key&gt;&lt;/foreign-keys&gt;&lt;ref-type name="Journal Article"&gt;17&lt;/ref-type&gt;&lt;contributors&gt;&lt;authors&gt;&lt;author&gt;Almagro Armenteros, José Juan&lt;/author&gt;&lt;author&gt;Tsirigos, Konstantinos D&lt;/author&gt;&lt;author&gt;Sønderby, Casper Kaae&lt;/author&gt;&lt;author&gt;Petersen, Thomas Nordahl&lt;/author&gt;&lt;author&gt;Winther, Ole&lt;/author&gt;&lt;author&gt;Brunak, Søren&lt;/author&gt;&lt;author&gt;von Heijne, Gunnar&lt;/author&gt;&lt;author&gt;Nielsen, Henrik&lt;/author&gt;&lt;/authors&gt;&lt;/contributors&gt;&lt;titles&gt;&lt;title&gt;SignalP 5.0 improves signal peptide predictions using deep neural networks&lt;/title&gt;&lt;secondary-title&gt;Nature biotechnology&lt;/secondary-title&gt;&lt;/titles&gt;&lt;periodical&gt;&lt;full-title&gt;Nature biotechnology&lt;/full-title&gt;&lt;/periodical&gt;&lt;pages&gt;420-423&lt;/pages&gt;&lt;volume&gt;37&lt;/volume&gt;&lt;number&gt;4&lt;/number&gt;&lt;dates&gt;&lt;year&gt;2019&lt;/year&gt;&lt;/dates&gt;&lt;isbn&gt;1087-0156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(Almagro Armenteros et al., 2019)</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and </w:t>
      </w:r>
      <w:proofErr w:type="spellStart"/>
      <w:r w:rsidR="00A11335" w:rsidRPr="00B93802">
        <w:rPr>
          <w:rFonts w:asciiTheme="majorBidi" w:hAnsiTheme="majorBidi" w:cstheme="majorBidi"/>
          <w:sz w:val="24"/>
          <w:szCs w:val="24"/>
        </w:rPr>
        <w:t>tmhmm</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&lt;EndNote&gt;&lt;Cite&gt;&lt;Author&gt;Krogh&lt;/Author&gt;&lt;Year&gt;2001&lt;/Year&gt;&lt;RecNum&gt;102&lt;/RecNum&gt;&lt;DisplayText&gt;(Krogh et al., 2001)&lt;/DisplayText&gt;&lt;record&gt;&lt;rec-number&gt;102&lt;/rec-number&gt;&lt;foreign-keys&gt;&lt;key app="EN" db-id="9dszea9edr0dzlew5s050zv6s9zr9esdf9zx" timestamp="1675776989"&gt;102&lt;/key&gt;&lt;/foreign-keys&gt;&lt;ref-type name="Journal Article"&gt;17&lt;/ref-type&gt;&lt;contributors&gt;&lt;authors&gt;&lt;author&gt;Krogh, Anders&lt;/author&gt;&lt;author&gt;Larsson, Björn&lt;/author&gt;&lt;author&gt;Von Heijne, Gunnar&lt;/author&gt;&lt;author&gt;Sonnhammer, Erik LL&lt;/author&gt;&lt;/authors&gt;&lt;/contributors&gt;&lt;titles&gt;&lt;title&gt;Predicting transmembrane protein topology with a hidden Markov model: application to complete genomes&lt;/title&gt;&lt;secondary-title&gt;Journal of molecular biology&lt;/secondary-title&gt;&lt;/titles&gt;&lt;periodical&gt;&lt;full-title&gt;Journal of molecular biology&lt;/full-title&gt;&lt;/periodical&gt;&lt;pages&gt;567-580&lt;/pages&gt;&lt;volume&gt;305&lt;/volume&gt;&lt;number&gt;3&lt;/number&gt;&lt;dates&gt;&lt;year&gt;2001&lt;/year&gt;&lt;/dates&gt;&lt;isbn&gt;0022-2836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(Krogh et al., 2001)</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software tools for predicting signal peptides and transmembrane domains, </w:t>
      </w:r>
      <w:proofErr w:type="spellStart"/>
      <w:r w:rsidR="00A11335" w:rsidRPr="00B93802">
        <w:rPr>
          <w:rFonts w:asciiTheme="majorBidi" w:hAnsiTheme="majorBidi" w:cstheme="majorBidi"/>
          <w:sz w:val="24"/>
          <w:szCs w:val="24"/>
        </w:rPr>
        <w:t>RNA</w:t>
      </w:r>
      <w:r w:rsidR="00B93802" w:rsidRPr="00B93802">
        <w:rPr>
          <w:rFonts w:asciiTheme="majorBidi" w:hAnsiTheme="majorBidi" w:cstheme="majorBidi"/>
          <w:sz w:val="24"/>
          <w:szCs w:val="24"/>
        </w:rPr>
        <w:t>mmer</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&lt;EndNote&gt;&lt;Cite&gt;&lt;Author&gt;Lagesen&lt;/Author&gt;&lt;Year&gt;2007&lt;/Year&gt;&lt;RecNum&gt;101&lt;/RecNum&gt;&lt;DisplayText&gt;(Lagesen et al., 2007)&lt;/DisplayText&gt;&lt;record&gt;&lt;rec-number&gt;101&lt;/rec-number&gt;&lt;foreign-keys&gt;&lt;key app="EN" db-id="9dszea9edr0dzlew5s050zv6s9zr9esdf9zx" timestamp="1675776830"&gt;101&lt;/key&gt;&lt;/foreign-keys&gt;&lt;ref-type name="Journal Article"&gt;17&lt;/ref-type&gt;&lt;contributors&gt;&lt;authors&gt;&lt;author&gt;Lagesen, Karin&lt;/author&gt;&lt;author&gt;Hallin, Peter&lt;/author&gt;&lt;author&gt;Rødland, Einar Andreas&lt;/author&gt;&lt;author&gt;Stærfeldt, Hans-Henrik&lt;/author&gt;&lt;author&gt;Rognes, Torbjørn&lt;/author&gt;&lt;author&gt;Ussery, David W&lt;/author&gt;&lt;/authors&gt;&lt;/contributors&gt;&lt;titles&gt;&lt;title&gt;RNAmmer: consistent and rapid annotation of ribosomal RNA genes&lt;/title&gt;&lt;secondary-title&gt;Nucleic acids research&lt;/secondary-title&gt;&lt;/titles&gt;&lt;periodical&gt;&lt;full-title&gt;Nucleic acids research&lt;/full-title&gt;&lt;/periodical&gt;&lt;pages&gt;3100-3108&lt;/pages&gt;&lt;volume&gt;35&lt;/volume&gt;&lt;number&gt;9&lt;/number&gt;&lt;dates&gt;&lt;year&gt;2007&lt;/year&gt;&lt;/dates&gt;&lt;isbn&gt;1362-4962&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(Lagesen et al., 2007)</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to detect rRNAs</w:t>
      </w:r>
      <w:r w:rsidR="00B93802">
        <w:rPr>
          <w:rFonts w:asciiTheme="majorBidi" w:hAnsiTheme="majorBidi" w:cstheme="majorBidi"/>
          <w:sz w:val="24"/>
          <w:szCs w:val="24"/>
        </w:rPr>
        <w:t xml:space="preserve">. </w:t>
      </w:r>
      <w:r w:rsidR="00344583">
        <w:rPr>
          <w:rFonts w:asciiTheme="majorBidi" w:hAnsiTheme="majorBidi" w:cstheme="majorBidi"/>
          <w:sz w:val="24"/>
          <w:szCs w:val="24"/>
        </w:rPr>
        <w:t xml:space="preserve">Finally, all </w:t>
      </w:r>
      <w:r w:rsidR="00344583">
        <w:rPr>
          <w:rFonts w:asciiTheme="majorBidi" w:hAnsiTheme="majorBidi" w:cstheme="majorBidi"/>
          <w:sz w:val="24"/>
          <w:szCs w:val="24"/>
        </w:rPr>
        <w:lastRenderedPageBreak/>
        <w:t xml:space="preserve">information obtaining from previous steps for functional annotation of contigs were import into </w:t>
      </w:r>
      <w:proofErr w:type="spellStart"/>
      <w:r w:rsidR="00344583">
        <w:rPr>
          <w:rFonts w:asciiTheme="majorBidi" w:hAnsiTheme="majorBidi" w:cstheme="majorBidi"/>
          <w:sz w:val="24"/>
          <w:szCs w:val="24"/>
        </w:rPr>
        <w:t>Trinonate</w:t>
      </w:r>
      <w:proofErr w:type="spellEnd"/>
      <w:r w:rsidR="00344583">
        <w:rPr>
          <w:rFonts w:asciiTheme="majorBidi" w:hAnsiTheme="majorBidi" w:cstheme="majorBidi"/>
          <w:sz w:val="24"/>
          <w:szCs w:val="24"/>
        </w:rPr>
        <w:t xml:space="preserve"> SQLite database</w:t>
      </w:r>
      <w:r w:rsidR="001D4EEE">
        <w:rPr>
          <w:rFonts w:asciiTheme="majorBidi" w:hAnsiTheme="majorBidi" w:cstheme="majorBidi"/>
          <w:sz w:val="24"/>
          <w:szCs w:val="24"/>
        </w:rPr>
        <w:t xml:space="preserve"> </w:t>
      </w:r>
      <w:r w:rsidR="001D4EEE" w:rsidRPr="00B93802">
        <w:rPr>
          <w:rFonts w:asciiTheme="majorBidi" w:hAnsiTheme="majorBidi" w:cstheme="majorBidi"/>
          <w:sz w:val="24"/>
          <w:szCs w:val="24"/>
        </w:rPr>
        <w:t>(https://github.com/Trinotate/Trinotate/wiki)</w:t>
      </w:r>
      <w:r w:rsidR="00344583">
        <w:rPr>
          <w:rFonts w:asciiTheme="majorBidi" w:hAnsiTheme="majorBidi" w:cstheme="majorBidi"/>
          <w:sz w:val="24"/>
          <w:szCs w:val="24"/>
        </w:rPr>
        <w:t>.</w:t>
      </w:r>
    </w:p>
    <w:p w14:paraId="410DF5BF" w14:textId="1F4E52F9" w:rsidR="00530443" w:rsidRPr="00154DD6" w:rsidRDefault="00451BD0" w:rsidP="001C02A0">
      <w:pPr>
        <w:jc w:val="both"/>
        <w:rPr>
          <w:rFonts w:asciiTheme="majorBidi" w:hAnsiTheme="majorBidi" w:cstheme="majorBidi"/>
          <w:b/>
          <w:bCs/>
          <w:sz w:val="24"/>
          <w:szCs w:val="24"/>
        </w:rPr>
      </w:pPr>
      <w:r w:rsidRPr="00154DD6">
        <w:rPr>
          <w:rFonts w:asciiTheme="majorBidi" w:hAnsiTheme="majorBidi" w:cstheme="majorBidi"/>
          <w:b/>
          <w:bCs/>
          <w:sz w:val="24"/>
          <w:szCs w:val="24"/>
        </w:rPr>
        <w:t>Differentially gene expression analysis</w:t>
      </w:r>
    </w:p>
    <w:p w14:paraId="1AD1ED08" w14:textId="51654B49" w:rsidR="00451BD0" w:rsidRDefault="00DB4B95" w:rsidP="001C02A0">
      <w:pPr>
        <w:jc w:val="both"/>
        <w:rPr>
          <w:rFonts w:asciiTheme="majorBidi" w:hAnsiTheme="majorBidi" w:cstheme="majorBidi"/>
          <w:sz w:val="24"/>
          <w:szCs w:val="24"/>
        </w:rPr>
      </w:pPr>
      <w:r>
        <w:rPr>
          <w:rFonts w:asciiTheme="majorBidi" w:hAnsiTheme="majorBidi" w:cstheme="majorBidi"/>
          <w:sz w:val="24"/>
          <w:szCs w:val="24"/>
        </w:rPr>
        <w:t xml:space="preserve">To </w:t>
      </w:r>
      <w:r w:rsidR="00EF408E">
        <w:rPr>
          <w:rFonts w:asciiTheme="majorBidi" w:hAnsiTheme="majorBidi" w:cstheme="majorBidi"/>
          <w:sz w:val="24"/>
          <w:szCs w:val="24"/>
        </w:rPr>
        <w:t>identify differentially expressed genes in</w:t>
      </w:r>
      <w:r w:rsidR="00154DD6">
        <w:rPr>
          <w:rFonts w:asciiTheme="majorBidi" w:hAnsiTheme="majorBidi" w:cstheme="majorBidi"/>
          <w:sz w:val="24"/>
          <w:szCs w:val="24"/>
        </w:rPr>
        <w:t xml:space="preserve"> counterpart tissues</w:t>
      </w:r>
      <w:r w:rsidR="00EF408E">
        <w:rPr>
          <w:rFonts w:asciiTheme="majorBidi" w:hAnsiTheme="majorBidi" w:cstheme="majorBidi"/>
          <w:sz w:val="24"/>
          <w:szCs w:val="24"/>
        </w:rPr>
        <w:t xml:space="preserve"> between heterografts and </w:t>
      </w:r>
      <w:proofErr w:type="spellStart"/>
      <w:r w:rsidR="00EF408E">
        <w:rPr>
          <w:rFonts w:asciiTheme="majorBidi" w:hAnsiTheme="majorBidi" w:cstheme="majorBidi"/>
          <w:sz w:val="24"/>
          <w:szCs w:val="24"/>
        </w:rPr>
        <w:t>homografts</w:t>
      </w:r>
      <w:proofErr w:type="spellEnd"/>
      <w:r w:rsidR="00EF408E">
        <w:rPr>
          <w:rFonts w:asciiTheme="majorBidi" w:hAnsiTheme="majorBidi" w:cstheme="majorBidi"/>
          <w:sz w:val="24"/>
          <w:szCs w:val="24"/>
        </w:rPr>
        <w:t>, we aligned back RNA-seq reads from each tissue to its corresponding assembly (Table 1) to obtain expression values for contigs. RSEM method</w:t>
      </w:r>
      <w:r w:rsidR="0051448A">
        <w:rPr>
          <w:rFonts w:asciiTheme="majorBidi" w:hAnsiTheme="majorBidi" w:cstheme="majorBidi"/>
          <w:sz w:val="24"/>
          <w:szCs w:val="24"/>
        </w:rPr>
        <w:t xml:space="preserve"> </w:t>
      </w:r>
      <w:r w:rsidR="0051448A">
        <w:rPr>
          <w:rFonts w:asciiTheme="majorBidi" w:hAnsiTheme="majorBidi" w:cstheme="majorBidi"/>
          <w:sz w:val="24"/>
          <w:szCs w:val="24"/>
        </w:rPr>
        <w:fldChar w:fldCharType="begin"/>
      </w:r>
      <w:r w:rsidR="0051448A">
        <w:rPr>
          <w:rFonts w:asciiTheme="majorBidi" w:hAnsiTheme="majorBidi" w:cstheme="majorBidi"/>
          <w:sz w:val="24"/>
          <w:szCs w:val="24"/>
        </w:rPr>
        <w:instrText xml:space="preserve"> ADDIN EN.CITE &lt;EndNote&gt;&lt;Cite&gt;&lt;Author&gt;Li&lt;/Author&gt;&lt;Year&gt;2011&lt;/Year&gt;&lt;RecNum&gt;104&lt;/RecNum&gt;&lt;DisplayText&gt;(Li &amp;amp; Dewey, 2011)&lt;/DisplayText&gt;&lt;record&gt;&lt;rec-number&gt;104&lt;/rec-number&gt;&lt;foreign-keys&gt;&lt;key app="EN" db-id="9dszea9edr0dzlew5s050zv6s9zr9esdf9zx" timestamp="1675788002"&gt;104&lt;/key&gt;&lt;/foreign-keys&gt;&lt;ref-type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bioinformatics&lt;/full-title&gt;&lt;/periodical&gt;&lt;pages&gt;1-16&lt;/pages&gt;&lt;volume&gt;12&lt;/volume&gt;&lt;dates&gt;&lt;year&gt;2011&lt;/year&gt;&lt;/dates&gt;&lt;urls&gt;&lt;/urls&gt;&lt;/record&gt;&lt;/Cite&gt;&lt;/EndNote&gt;</w:instrText>
      </w:r>
      <w:r w:rsidR="0051448A">
        <w:rPr>
          <w:rFonts w:asciiTheme="majorBidi" w:hAnsiTheme="majorBidi" w:cstheme="majorBidi"/>
          <w:sz w:val="24"/>
          <w:szCs w:val="24"/>
        </w:rPr>
        <w:fldChar w:fldCharType="separate"/>
      </w:r>
      <w:r w:rsidR="0051448A">
        <w:rPr>
          <w:rFonts w:asciiTheme="majorBidi" w:hAnsiTheme="majorBidi" w:cstheme="majorBidi"/>
          <w:noProof/>
          <w:sz w:val="24"/>
          <w:szCs w:val="24"/>
        </w:rPr>
        <w:t>(Li &amp; Dewey, 2011)</w:t>
      </w:r>
      <w:r w:rsidR="0051448A">
        <w:rPr>
          <w:rFonts w:asciiTheme="majorBidi" w:hAnsiTheme="majorBidi" w:cstheme="majorBidi"/>
          <w:sz w:val="24"/>
          <w:szCs w:val="24"/>
        </w:rPr>
        <w:fldChar w:fldCharType="end"/>
      </w:r>
      <w:r w:rsidR="00EF408E">
        <w:rPr>
          <w:rFonts w:asciiTheme="majorBidi" w:hAnsiTheme="majorBidi" w:cstheme="majorBidi"/>
          <w:sz w:val="24"/>
          <w:szCs w:val="24"/>
        </w:rPr>
        <w:t xml:space="preserve"> was run for evaluating transcript expression</w:t>
      </w:r>
      <w:r w:rsidR="0051448A">
        <w:rPr>
          <w:rFonts w:asciiTheme="majorBidi" w:hAnsiTheme="majorBidi" w:cstheme="majorBidi"/>
          <w:sz w:val="24"/>
          <w:szCs w:val="24"/>
        </w:rPr>
        <w:t>.</w:t>
      </w:r>
      <w:r w:rsidR="00136BA0">
        <w:rPr>
          <w:rFonts w:asciiTheme="majorBidi" w:hAnsiTheme="majorBidi" w:cstheme="majorBidi"/>
          <w:sz w:val="24"/>
          <w:szCs w:val="24"/>
        </w:rPr>
        <w:t xml:space="preserve"> Then DESeq2 R package</w:t>
      </w:r>
      <w:r w:rsidR="007C6591">
        <w:rPr>
          <w:rFonts w:asciiTheme="majorBidi" w:hAnsiTheme="majorBidi" w:cstheme="majorBidi"/>
          <w:sz w:val="24"/>
          <w:szCs w:val="24"/>
        </w:rPr>
        <w:t xml:space="preserve"> </w:t>
      </w:r>
      <w:r w:rsidR="007C6591">
        <w:rPr>
          <w:rFonts w:asciiTheme="majorBidi" w:hAnsiTheme="majorBidi" w:cstheme="majorBidi"/>
          <w:sz w:val="24"/>
          <w:szCs w:val="24"/>
        </w:rPr>
        <w:fldChar w:fldCharType="begin"/>
      </w:r>
      <w:r w:rsidR="007C6591">
        <w:rPr>
          <w:rFonts w:asciiTheme="majorBidi" w:hAnsiTheme="majorBidi" w:cstheme="majorBidi"/>
          <w:sz w:val="24"/>
          <w:szCs w:val="24"/>
        </w:rPr>
        <w:instrText xml:space="preserve"> ADDIN EN.CITE &lt;EndNote&gt;&lt;Cite&gt;&lt;Author&gt;Love&lt;/Author&gt;&lt;Year&gt;2014&lt;/Year&gt;&lt;RecNum&gt;105&lt;/RecNum&gt;&lt;DisplayText&gt;(Love et al., 2014)&lt;/DisplayText&gt;&lt;record&gt;&lt;rec-number&gt;105&lt;/rec-number&gt;&lt;foreign-keys&gt;&lt;key app="EN" db-id="9dszea9edr0dzlew5s050zv6s9zr9esdf9zx" timestamp="1675788538"&gt;105&lt;/key&gt;&lt;/foreign-keys&gt;&lt;ref-type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1-21&lt;/pages&gt;&lt;volume&gt;15&lt;/volume&gt;&lt;number&gt;12&lt;/number&gt;&lt;dates&gt;&lt;year&gt;2014&lt;/year&gt;&lt;/dates&gt;&lt;isbn&gt;1474-760X&lt;/isbn&gt;&lt;urls&gt;&lt;/urls&gt;&lt;/record&gt;&lt;/Cite&gt;&lt;/EndNote&gt;</w:instrText>
      </w:r>
      <w:r w:rsidR="007C6591">
        <w:rPr>
          <w:rFonts w:asciiTheme="majorBidi" w:hAnsiTheme="majorBidi" w:cstheme="majorBidi"/>
          <w:sz w:val="24"/>
          <w:szCs w:val="24"/>
        </w:rPr>
        <w:fldChar w:fldCharType="separate"/>
      </w:r>
      <w:r w:rsidR="007C6591">
        <w:rPr>
          <w:rFonts w:asciiTheme="majorBidi" w:hAnsiTheme="majorBidi" w:cstheme="majorBidi"/>
          <w:noProof/>
          <w:sz w:val="24"/>
          <w:szCs w:val="24"/>
        </w:rPr>
        <w:t>(Love et al., 2014)</w:t>
      </w:r>
      <w:r w:rsidR="007C6591">
        <w:rPr>
          <w:rFonts w:asciiTheme="majorBidi" w:hAnsiTheme="majorBidi" w:cstheme="majorBidi"/>
          <w:sz w:val="24"/>
          <w:szCs w:val="24"/>
        </w:rPr>
        <w:fldChar w:fldCharType="end"/>
      </w:r>
      <w:r w:rsidR="00136BA0">
        <w:rPr>
          <w:rFonts w:asciiTheme="majorBidi" w:hAnsiTheme="majorBidi" w:cstheme="majorBidi"/>
          <w:sz w:val="24"/>
          <w:szCs w:val="24"/>
        </w:rPr>
        <w:t xml:space="preserve"> was run for differential expression analysis.</w:t>
      </w:r>
    </w:p>
    <w:p w14:paraId="7DDC852F" w14:textId="6AD24BDA" w:rsidR="00254335" w:rsidRPr="00254335" w:rsidRDefault="00254335" w:rsidP="00254335">
      <w:pPr>
        <w:pStyle w:val="Caption"/>
        <w:keepNext/>
        <w:rPr>
          <w:rFonts w:asciiTheme="majorBidi" w:hAnsiTheme="majorBidi" w:cstheme="majorBidi"/>
          <w:i w:val="0"/>
          <w:iCs w:val="0"/>
          <w:color w:val="auto"/>
        </w:rPr>
      </w:pPr>
      <w:r w:rsidRPr="00254335">
        <w:rPr>
          <w:rFonts w:asciiTheme="majorBidi" w:hAnsiTheme="majorBidi" w:cstheme="majorBidi"/>
          <w:i w:val="0"/>
          <w:iCs w:val="0"/>
          <w:color w:val="auto"/>
        </w:rPr>
        <w:t xml:space="preserve">Table </w:t>
      </w:r>
      <w:r w:rsidRPr="00254335">
        <w:rPr>
          <w:rFonts w:asciiTheme="majorBidi" w:hAnsiTheme="majorBidi" w:cstheme="majorBidi"/>
          <w:i w:val="0"/>
          <w:iCs w:val="0"/>
          <w:color w:val="auto"/>
        </w:rPr>
        <w:fldChar w:fldCharType="begin"/>
      </w:r>
      <w:r w:rsidRPr="00254335">
        <w:rPr>
          <w:rFonts w:asciiTheme="majorBidi" w:hAnsiTheme="majorBidi" w:cstheme="majorBidi"/>
          <w:i w:val="0"/>
          <w:iCs w:val="0"/>
          <w:color w:val="auto"/>
        </w:rPr>
        <w:instrText xml:space="preserve"> SEQ Table \* ARABIC </w:instrText>
      </w:r>
      <w:r w:rsidRPr="00254335">
        <w:rPr>
          <w:rFonts w:asciiTheme="majorBidi" w:hAnsiTheme="majorBidi" w:cstheme="majorBidi"/>
          <w:i w:val="0"/>
          <w:iCs w:val="0"/>
          <w:color w:val="auto"/>
        </w:rPr>
        <w:fldChar w:fldCharType="separate"/>
      </w:r>
      <w:r w:rsidRPr="00254335">
        <w:rPr>
          <w:rFonts w:asciiTheme="majorBidi" w:hAnsiTheme="majorBidi" w:cstheme="majorBidi"/>
          <w:i w:val="0"/>
          <w:iCs w:val="0"/>
          <w:noProof/>
          <w:color w:val="auto"/>
        </w:rPr>
        <w:t>1</w:t>
      </w:r>
      <w:r w:rsidRPr="0025433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C7041D">
        <w:rPr>
          <w:rFonts w:asciiTheme="majorBidi" w:hAnsiTheme="majorBidi" w:cstheme="majorBidi"/>
          <w:i w:val="0"/>
          <w:iCs w:val="0"/>
          <w:color w:val="auto"/>
        </w:rPr>
        <w:t>Samples were aligned back to their corresponding assembly files</w:t>
      </w:r>
    </w:p>
    <w:tbl>
      <w:tblPr>
        <w:tblStyle w:val="TableGrid"/>
        <w:tblW w:w="0" w:type="auto"/>
        <w:tblLook w:val="04A0" w:firstRow="1" w:lastRow="0" w:firstColumn="1" w:lastColumn="0" w:noHBand="0" w:noVBand="1"/>
      </w:tblPr>
      <w:tblGrid>
        <w:gridCol w:w="1413"/>
        <w:gridCol w:w="4597"/>
        <w:gridCol w:w="3006"/>
      </w:tblGrid>
      <w:tr w:rsidR="0051448A" w14:paraId="22718C1E" w14:textId="77777777" w:rsidTr="0051448A">
        <w:tc>
          <w:tcPr>
            <w:tcW w:w="1413" w:type="dxa"/>
          </w:tcPr>
          <w:p w14:paraId="285F01FB" w14:textId="314634AE"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 xml:space="preserve">Tissue </w:t>
            </w:r>
          </w:p>
        </w:tc>
        <w:tc>
          <w:tcPr>
            <w:tcW w:w="4597" w:type="dxa"/>
          </w:tcPr>
          <w:p w14:paraId="5FDBB6E0" w14:textId="21B3D4F7"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Seedling type</w:t>
            </w:r>
          </w:p>
        </w:tc>
        <w:tc>
          <w:tcPr>
            <w:tcW w:w="3006" w:type="dxa"/>
          </w:tcPr>
          <w:p w14:paraId="0B038E2A" w14:textId="2C23E24C"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 xml:space="preserve">Assembly </w:t>
            </w:r>
          </w:p>
        </w:tc>
      </w:tr>
      <w:tr w:rsidR="0051448A" w14:paraId="0D2B607E" w14:textId="77777777" w:rsidTr="0051448A">
        <w:tc>
          <w:tcPr>
            <w:tcW w:w="1413" w:type="dxa"/>
          </w:tcPr>
          <w:p w14:paraId="791930D7" w14:textId="3DA3597B"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56738F0E" w14:textId="79715FC6"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C3/C3</w:t>
            </w:r>
          </w:p>
        </w:tc>
        <w:tc>
          <w:tcPr>
            <w:tcW w:w="3006" w:type="dxa"/>
          </w:tcPr>
          <w:p w14:paraId="2A43FC1B" w14:textId="2E25CCE0"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056539BA" w14:textId="77777777" w:rsidTr="0051448A">
        <w:tc>
          <w:tcPr>
            <w:tcW w:w="1413" w:type="dxa"/>
          </w:tcPr>
          <w:p w14:paraId="54217C97" w14:textId="7EA5750A"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23B59D40" w14:textId="692E6A2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C4/C3</w:t>
            </w:r>
          </w:p>
        </w:tc>
        <w:tc>
          <w:tcPr>
            <w:tcW w:w="3006" w:type="dxa"/>
          </w:tcPr>
          <w:p w14:paraId="095E656A" w14:textId="436A6093"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2FDDBE32" w14:textId="77777777" w:rsidTr="0051448A">
        <w:tc>
          <w:tcPr>
            <w:tcW w:w="1413" w:type="dxa"/>
          </w:tcPr>
          <w:p w14:paraId="17643A1D" w14:textId="2C87F5E6"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7B161E15" w14:textId="36B93C2D"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C4/C4</w:t>
            </w:r>
          </w:p>
        </w:tc>
        <w:tc>
          <w:tcPr>
            <w:tcW w:w="3006" w:type="dxa"/>
          </w:tcPr>
          <w:p w14:paraId="1A8D0AA3" w14:textId="71930490"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w:t>
            </w:r>
          </w:p>
        </w:tc>
      </w:tr>
      <w:tr w:rsidR="0051448A" w14:paraId="26A2FE11" w14:textId="77777777" w:rsidTr="0051448A">
        <w:tc>
          <w:tcPr>
            <w:tcW w:w="1413" w:type="dxa"/>
          </w:tcPr>
          <w:p w14:paraId="68D659BB" w14:textId="76F1365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023D4569" w14:textId="0D4B54AA"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C4/C3</w:t>
            </w:r>
          </w:p>
        </w:tc>
        <w:tc>
          <w:tcPr>
            <w:tcW w:w="3006" w:type="dxa"/>
          </w:tcPr>
          <w:p w14:paraId="039C84E5" w14:textId="4AD10449"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w:t>
            </w:r>
          </w:p>
        </w:tc>
      </w:tr>
      <w:tr w:rsidR="0051448A" w14:paraId="3F6F9344" w14:textId="77777777" w:rsidTr="0051448A">
        <w:tc>
          <w:tcPr>
            <w:tcW w:w="1413" w:type="dxa"/>
          </w:tcPr>
          <w:p w14:paraId="55F99779" w14:textId="1387A981"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Shoot</w:t>
            </w:r>
          </w:p>
        </w:tc>
        <w:tc>
          <w:tcPr>
            <w:tcW w:w="4597" w:type="dxa"/>
          </w:tcPr>
          <w:p w14:paraId="6334EE95" w14:textId="477858C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C3/C3</w:t>
            </w:r>
          </w:p>
        </w:tc>
        <w:tc>
          <w:tcPr>
            <w:tcW w:w="3006" w:type="dxa"/>
          </w:tcPr>
          <w:p w14:paraId="00B1C8C3" w14:textId="4D5B9E5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25027DEF" w14:textId="77777777" w:rsidTr="0051448A">
        <w:tc>
          <w:tcPr>
            <w:tcW w:w="1413" w:type="dxa"/>
          </w:tcPr>
          <w:p w14:paraId="36717AE9" w14:textId="6ED44989"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3A850E78" w14:textId="45B9374B"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C3/C4</w:t>
            </w:r>
          </w:p>
        </w:tc>
        <w:tc>
          <w:tcPr>
            <w:tcW w:w="3006" w:type="dxa"/>
          </w:tcPr>
          <w:p w14:paraId="1D88D28F" w14:textId="4ED75803"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11D6A9D5" w14:textId="77777777" w:rsidTr="0051448A">
        <w:tc>
          <w:tcPr>
            <w:tcW w:w="1413" w:type="dxa"/>
          </w:tcPr>
          <w:p w14:paraId="6BA60653" w14:textId="61160D1F"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5B4D8973" w14:textId="3C2A673F"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C4/C4</w:t>
            </w:r>
          </w:p>
        </w:tc>
        <w:tc>
          <w:tcPr>
            <w:tcW w:w="3006" w:type="dxa"/>
          </w:tcPr>
          <w:p w14:paraId="489EDED0" w14:textId="55F0FCC4" w:rsidR="0051448A" w:rsidRDefault="0051448A" w:rsidP="0051448A">
            <w:pPr>
              <w:jc w:val="both"/>
              <w:rPr>
                <w:rFonts w:asciiTheme="majorBidi" w:hAnsiTheme="majorBidi" w:cstheme="majorBidi"/>
                <w:sz w:val="24"/>
                <w:szCs w:val="24"/>
              </w:rPr>
            </w:pPr>
            <w:r w:rsidRPr="00965466">
              <w:rPr>
                <w:rFonts w:asciiTheme="majorBidi" w:hAnsiTheme="majorBidi" w:cstheme="majorBidi"/>
                <w:sz w:val="24"/>
                <w:szCs w:val="24"/>
              </w:rPr>
              <w:t>C4</w:t>
            </w:r>
          </w:p>
        </w:tc>
      </w:tr>
      <w:tr w:rsidR="0051448A" w14:paraId="4CBB040A" w14:textId="77777777" w:rsidTr="0051448A">
        <w:tc>
          <w:tcPr>
            <w:tcW w:w="1413" w:type="dxa"/>
          </w:tcPr>
          <w:p w14:paraId="733E02CE" w14:textId="26023DF2"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2CFE7C0B" w14:textId="514A5920"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C3/C4</w:t>
            </w:r>
          </w:p>
        </w:tc>
        <w:tc>
          <w:tcPr>
            <w:tcW w:w="3006" w:type="dxa"/>
          </w:tcPr>
          <w:p w14:paraId="39E9785B" w14:textId="191DD83A" w:rsidR="0051448A" w:rsidRDefault="0051448A" w:rsidP="0051448A">
            <w:pPr>
              <w:jc w:val="both"/>
              <w:rPr>
                <w:rFonts w:asciiTheme="majorBidi" w:hAnsiTheme="majorBidi" w:cstheme="majorBidi"/>
                <w:sz w:val="24"/>
                <w:szCs w:val="24"/>
              </w:rPr>
            </w:pPr>
            <w:r w:rsidRPr="00965466">
              <w:rPr>
                <w:rFonts w:asciiTheme="majorBidi" w:hAnsiTheme="majorBidi" w:cstheme="majorBidi"/>
                <w:sz w:val="24"/>
                <w:szCs w:val="24"/>
              </w:rPr>
              <w:t>C4</w:t>
            </w:r>
          </w:p>
        </w:tc>
      </w:tr>
    </w:tbl>
    <w:p w14:paraId="48AB979D" w14:textId="1C203ED6" w:rsidR="0051448A" w:rsidRDefault="0051448A" w:rsidP="001C02A0">
      <w:pPr>
        <w:jc w:val="both"/>
        <w:rPr>
          <w:rFonts w:asciiTheme="majorBidi" w:hAnsiTheme="majorBidi" w:cstheme="majorBidi"/>
          <w:sz w:val="24"/>
          <w:szCs w:val="24"/>
        </w:rPr>
      </w:pPr>
    </w:p>
    <w:p w14:paraId="7DAC18C2" w14:textId="4279DACC" w:rsidR="00FC073B" w:rsidRPr="00BF2385" w:rsidRDefault="00967BCF" w:rsidP="00967BCF">
      <w:pPr>
        <w:jc w:val="both"/>
        <w:rPr>
          <w:rFonts w:asciiTheme="majorBidi" w:hAnsiTheme="majorBidi" w:cstheme="majorBidi"/>
          <w:b/>
          <w:bCs/>
          <w:sz w:val="28"/>
          <w:szCs w:val="28"/>
        </w:rPr>
      </w:pPr>
      <w:r w:rsidRPr="00BF2385">
        <w:rPr>
          <w:rFonts w:asciiTheme="majorBidi" w:hAnsiTheme="majorBidi" w:cstheme="majorBidi"/>
          <w:b/>
          <w:bCs/>
          <w:sz w:val="28"/>
          <w:szCs w:val="28"/>
        </w:rPr>
        <w:t>Results</w:t>
      </w:r>
    </w:p>
    <w:p w14:paraId="57CB939B" w14:textId="318FD4E9" w:rsidR="00BF2385" w:rsidRPr="00811902" w:rsidRDefault="00BF2385" w:rsidP="00967BCF">
      <w:pPr>
        <w:jc w:val="both"/>
        <w:rPr>
          <w:rFonts w:asciiTheme="majorBidi" w:hAnsiTheme="majorBidi" w:cstheme="majorBidi"/>
          <w:b/>
          <w:bCs/>
          <w:sz w:val="24"/>
          <w:szCs w:val="24"/>
        </w:rPr>
      </w:pPr>
      <w:r w:rsidRPr="00811902">
        <w:rPr>
          <w:rFonts w:asciiTheme="majorBidi" w:hAnsiTheme="majorBidi" w:cstheme="majorBidi"/>
          <w:b/>
          <w:bCs/>
          <w:sz w:val="24"/>
          <w:szCs w:val="24"/>
        </w:rPr>
        <w:t>De novo assembly</w:t>
      </w:r>
    </w:p>
    <w:p w14:paraId="75E7B6DF" w14:textId="34D132B3" w:rsidR="00BF2385" w:rsidRDefault="00BF2385" w:rsidP="00367D8E">
      <w:pPr>
        <w:jc w:val="both"/>
        <w:rPr>
          <w:rFonts w:asciiTheme="majorBidi" w:hAnsiTheme="majorBidi" w:cstheme="majorBidi"/>
          <w:sz w:val="24"/>
          <w:szCs w:val="24"/>
        </w:rPr>
      </w:pPr>
      <w:r>
        <w:rPr>
          <w:rFonts w:asciiTheme="majorBidi" w:hAnsiTheme="majorBidi" w:cstheme="majorBidi"/>
          <w:sz w:val="24"/>
          <w:szCs w:val="24"/>
        </w:rPr>
        <w:t>To build a high</w:t>
      </w:r>
      <w:r w:rsidR="00FF728B">
        <w:rPr>
          <w:rFonts w:asciiTheme="majorBidi" w:hAnsiTheme="majorBidi" w:cstheme="majorBidi"/>
          <w:sz w:val="24"/>
          <w:szCs w:val="24"/>
        </w:rPr>
        <w:t>-</w:t>
      </w:r>
      <w:r>
        <w:rPr>
          <w:rFonts w:asciiTheme="majorBidi" w:hAnsiTheme="majorBidi" w:cstheme="majorBidi"/>
          <w:sz w:val="24"/>
          <w:szCs w:val="24"/>
        </w:rPr>
        <w:t>quality transcriptome asse</w:t>
      </w:r>
      <w:r w:rsidR="00AD4207">
        <w:rPr>
          <w:rFonts w:asciiTheme="majorBidi" w:hAnsiTheme="majorBidi" w:cstheme="majorBidi"/>
          <w:sz w:val="24"/>
          <w:szCs w:val="24"/>
        </w:rPr>
        <w:t xml:space="preserve">mbly, we first checked the quality of short reads </w:t>
      </w:r>
      <w:r w:rsidR="00811902">
        <w:rPr>
          <w:rFonts w:asciiTheme="majorBidi" w:hAnsiTheme="majorBidi" w:cstheme="majorBidi"/>
          <w:sz w:val="24"/>
          <w:szCs w:val="24"/>
        </w:rPr>
        <w:t>and then trimming of low</w:t>
      </w:r>
      <w:r w:rsidR="00FF728B">
        <w:rPr>
          <w:rFonts w:asciiTheme="majorBidi" w:hAnsiTheme="majorBidi" w:cstheme="majorBidi"/>
          <w:sz w:val="24"/>
          <w:szCs w:val="24"/>
        </w:rPr>
        <w:t>-</w:t>
      </w:r>
      <w:r w:rsidR="00811902">
        <w:rPr>
          <w:rFonts w:asciiTheme="majorBidi" w:hAnsiTheme="majorBidi" w:cstheme="majorBidi"/>
          <w:sz w:val="24"/>
          <w:szCs w:val="24"/>
        </w:rPr>
        <w:t xml:space="preserve">quality bases was conducted. </w:t>
      </w:r>
      <w:r w:rsidR="00F729F0">
        <w:rPr>
          <w:rFonts w:asciiTheme="majorBidi" w:hAnsiTheme="majorBidi" w:cstheme="majorBidi"/>
          <w:sz w:val="24"/>
          <w:szCs w:val="24"/>
        </w:rPr>
        <w:t>For C3 and C4 species, two separate</w:t>
      </w:r>
      <w:r w:rsidR="00FF728B">
        <w:rPr>
          <w:rFonts w:asciiTheme="majorBidi" w:hAnsiTheme="majorBidi" w:cstheme="majorBidi"/>
          <w:sz w:val="24"/>
          <w:szCs w:val="24"/>
        </w:rPr>
        <w:t xml:space="preserve"> </w:t>
      </w:r>
      <w:r w:rsidR="00F729F0">
        <w:rPr>
          <w:rFonts w:asciiTheme="majorBidi" w:hAnsiTheme="majorBidi" w:cstheme="majorBidi"/>
          <w:sz w:val="24"/>
          <w:szCs w:val="24"/>
        </w:rPr>
        <w:t>assembly files were built. Only read files from</w:t>
      </w:r>
      <w:r w:rsidR="002741D5">
        <w:rPr>
          <w:rFonts w:asciiTheme="majorBidi" w:hAnsiTheme="majorBidi" w:cstheme="majorBidi"/>
          <w:sz w:val="24"/>
          <w:szCs w:val="24"/>
        </w:rPr>
        <w:t xml:space="preserve"> </w:t>
      </w:r>
      <w:proofErr w:type="spellStart"/>
      <w:r w:rsidR="002741D5">
        <w:rPr>
          <w:rFonts w:asciiTheme="majorBidi" w:hAnsiTheme="majorBidi" w:cstheme="majorBidi"/>
          <w:sz w:val="24"/>
          <w:szCs w:val="24"/>
        </w:rPr>
        <w:t>homografts</w:t>
      </w:r>
      <w:proofErr w:type="spellEnd"/>
      <w:r w:rsidR="002741D5">
        <w:rPr>
          <w:rFonts w:asciiTheme="majorBidi" w:hAnsiTheme="majorBidi" w:cstheme="majorBidi"/>
          <w:sz w:val="24"/>
          <w:szCs w:val="24"/>
        </w:rPr>
        <w:t xml:space="preserve"> were used to have pure assembly files for each species.</w:t>
      </w:r>
      <w:r w:rsidR="002635F1">
        <w:rPr>
          <w:rFonts w:asciiTheme="majorBidi" w:hAnsiTheme="majorBidi" w:cstheme="majorBidi"/>
          <w:sz w:val="24"/>
          <w:szCs w:val="24"/>
        </w:rPr>
        <w:t xml:space="preserve"> Trinity was run with internal normalization and k</w:t>
      </w:r>
      <w:r w:rsidR="00482945">
        <w:rPr>
          <w:rFonts w:asciiTheme="majorBidi" w:hAnsiTheme="majorBidi" w:cstheme="majorBidi"/>
          <w:sz w:val="24"/>
          <w:szCs w:val="24"/>
        </w:rPr>
        <w:t>-</w:t>
      </w:r>
      <w:proofErr w:type="spellStart"/>
      <w:r w:rsidR="002635F1">
        <w:rPr>
          <w:rFonts w:asciiTheme="majorBidi" w:hAnsiTheme="majorBidi" w:cstheme="majorBidi"/>
          <w:sz w:val="24"/>
          <w:szCs w:val="24"/>
        </w:rPr>
        <w:t>mer</w:t>
      </w:r>
      <w:proofErr w:type="spellEnd"/>
      <w:r w:rsidR="002635F1">
        <w:rPr>
          <w:rFonts w:asciiTheme="majorBidi" w:hAnsiTheme="majorBidi" w:cstheme="majorBidi"/>
          <w:sz w:val="24"/>
          <w:szCs w:val="24"/>
        </w:rPr>
        <w:t xml:space="preserve"> =25.</w:t>
      </w:r>
      <w:r w:rsidR="00512EAB">
        <w:rPr>
          <w:rFonts w:asciiTheme="majorBidi" w:hAnsiTheme="majorBidi" w:cstheme="majorBidi"/>
          <w:sz w:val="24"/>
          <w:szCs w:val="24"/>
        </w:rPr>
        <w:t xml:space="preserve"> The quality of assembly files was checked by </w:t>
      </w:r>
      <w:r w:rsidR="00D85B5F">
        <w:rPr>
          <w:rFonts w:asciiTheme="majorBidi" w:hAnsiTheme="majorBidi" w:cstheme="majorBidi"/>
          <w:sz w:val="24"/>
          <w:szCs w:val="24"/>
        </w:rPr>
        <w:t xml:space="preserve">the percentages of raw reads that mapped back to constructed transcripts that it obtained more than 95% in average for each assembly. Also, </w:t>
      </w:r>
      <w:bookmarkStart w:id="0" w:name="_GoBack"/>
      <w:bookmarkEnd w:id="0"/>
    </w:p>
    <w:p w14:paraId="77C0C34C" w14:textId="77777777" w:rsidR="00967BCF" w:rsidRPr="00B93802" w:rsidRDefault="00967BCF" w:rsidP="00967BCF">
      <w:pPr>
        <w:jc w:val="both"/>
        <w:rPr>
          <w:rFonts w:asciiTheme="majorBidi" w:hAnsiTheme="majorBidi" w:cstheme="majorBidi"/>
          <w:sz w:val="24"/>
          <w:szCs w:val="24"/>
        </w:rPr>
      </w:pPr>
    </w:p>
    <w:p w14:paraId="4B32946D" w14:textId="77777777" w:rsidR="00530443" w:rsidRPr="00B93802" w:rsidRDefault="00530443" w:rsidP="001C02A0">
      <w:pPr>
        <w:jc w:val="both"/>
        <w:rPr>
          <w:rFonts w:asciiTheme="majorBidi" w:hAnsiTheme="majorBidi" w:cstheme="majorBidi"/>
          <w:sz w:val="24"/>
          <w:szCs w:val="24"/>
        </w:rPr>
      </w:pPr>
    </w:p>
    <w:p w14:paraId="163789DD" w14:textId="77777777" w:rsidR="007C6591" w:rsidRPr="007C6591" w:rsidRDefault="00530443" w:rsidP="007C6591">
      <w:pPr>
        <w:pStyle w:val="EndNoteBibliography"/>
        <w:spacing w:after="0"/>
        <w:ind w:left="720" w:hanging="720"/>
      </w:pP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EN.REFLIST </w:instrText>
      </w:r>
      <w:r w:rsidRPr="00B93802">
        <w:rPr>
          <w:rFonts w:asciiTheme="majorBidi" w:hAnsiTheme="majorBidi" w:cstheme="majorBidi"/>
          <w:sz w:val="24"/>
          <w:szCs w:val="24"/>
        </w:rPr>
        <w:fldChar w:fldCharType="separate"/>
      </w:r>
      <w:r w:rsidR="007C6591" w:rsidRPr="007C6591">
        <w:t xml:space="preserve">Almagro Armenteros, J. J., Tsirigos, K. D., Sønderby, C. K., Petersen, T. N., Winther, O., Brunak, S., von Heijne, G., &amp; Nielsen, H. (2019). SignalP 5.0 improves signal peptide predictions using deep neural networks. </w:t>
      </w:r>
      <w:r w:rsidR="007C6591" w:rsidRPr="007C6591">
        <w:rPr>
          <w:i/>
        </w:rPr>
        <w:t>Nature biotechnology</w:t>
      </w:r>
      <w:r w:rsidR="007C6591" w:rsidRPr="007C6591">
        <w:t>,</w:t>
      </w:r>
      <w:r w:rsidR="007C6591" w:rsidRPr="007C6591">
        <w:rPr>
          <w:i/>
        </w:rPr>
        <w:t xml:space="preserve"> 37</w:t>
      </w:r>
      <w:r w:rsidR="007C6591" w:rsidRPr="007C6591">
        <w:t xml:space="preserve">(4), 420-423. </w:t>
      </w:r>
    </w:p>
    <w:p w14:paraId="743D9E59" w14:textId="77777777" w:rsidR="007C6591" w:rsidRPr="007C6591" w:rsidRDefault="007C6591" w:rsidP="007C6591">
      <w:pPr>
        <w:pStyle w:val="EndNoteBibliography"/>
        <w:spacing w:after="0"/>
        <w:ind w:left="720" w:hanging="720"/>
      </w:pPr>
      <w:r w:rsidRPr="007C6591">
        <w:t xml:space="preserve">Burgess, S. J., Granero-Moya, I., Grangé-Guermente, M. J., Boursnell, C., Terry, M. J., &amp; Hibberd, J. M. (2016). Ancestral light and chloroplast regulation form the foundations for C4 gene expression. </w:t>
      </w:r>
      <w:r w:rsidRPr="007C6591">
        <w:rPr>
          <w:i/>
        </w:rPr>
        <w:t>Nature Plants</w:t>
      </w:r>
      <w:r w:rsidRPr="007C6591">
        <w:t>,</w:t>
      </w:r>
      <w:r w:rsidRPr="007C6591">
        <w:rPr>
          <w:i/>
        </w:rPr>
        <w:t xml:space="preserve"> 2</w:t>
      </w:r>
      <w:r w:rsidRPr="007C6591">
        <w:t xml:space="preserve">(11), 1-6. </w:t>
      </w:r>
    </w:p>
    <w:p w14:paraId="0ADCFB24" w14:textId="77777777" w:rsidR="007C6591" w:rsidRPr="007C6591" w:rsidRDefault="007C6591" w:rsidP="007C6591">
      <w:pPr>
        <w:pStyle w:val="EndNoteBibliography"/>
        <w:spacing w:after="0"/>
        <w:ind w:left="720" w:hanging="720"/>
      </w:pPr>
      <w:r w:rsidRPr="007C6591">
        <w:t xml:space="preserve">Corbesier, L., Vincent, C., Jang, S., Fornara, F., Fan, Q., Searle, I., Giakountis, A., Farrona, S., Gissot, L., &amp; Turnbull, C. (2007). FT protein movement contributes to long-distance signaling in floral induction of Arabidopsis. </w:t>
      </w:r>
      <w:r w:rsidRPr="007C6591">
        <w:rPr>
          <w:i/>
        </w:rPr>
        <w:t>science</w:t>
      </w:r>
      <w:r w:rsidRPr="007C6591">
        <w:t>,</w:t>
      </w:r>
      <w:r w:rsidRPr="007C6591">
        <w:rPr>
          <w:i/>
        </w:rPr>
        <w:t xml:space="preserve"> 316</w:t>
      </w:r>
      <w:r w:rsidRPr="007C6591">
        <w:t xml:space="preserve">(5827), 1030-1033. </w:t>
      </w:r>
    </w:p>
    <w:p w14:paraId="6C7DA00F" w14:textId="77777777" w:rsidR="007C6591" w:rsidRPr="007C6591" w:rsidRDefault="007C6591" w:rsidP="007C6591">
      <w:pPr>
        <w:pStyle w:val="EndNoteBibliography"/>
        <w:spacing w:after="0"/>
        <w:ind w:left="720" w:hanging="720"/>
      </w:pPr>
      <w:r w:rsidRPr="007C6591">
        <w:t xml:space="preserve">Gerlich, S. C., Walker, B. J., Krueger, S., &amp; Kopriva, S. (2018). Sulfate metabolism in C4 Flaveria species is controlled by the root and connected to serine biosynthesis. </w:t>
      </w:r>
      <w:r w:rsidRPr="007C6591">
        <w:rPr>
          <w:i/>
        </w:rPr>
        <w:t>Plant Physiology</w:t>
      </w:r>
      <w:r w:rsidRPr="007C6591">
        <w:t>,</w:t>
      </w:r>
      <w:r w:rsidRPr="007C6591">
        <w:rPr>
          <w:i/>
        </w:rPr>
        <w:t xml:space="preserve"> 178</w:t>
      </w:r>
      <w:r w:rsidRPr="007C6591">
        <w:t xml:space="preserve">(2), 565-582. </w:t>
      </w:r>
    </w:p>
    <w:p w14:paraId="680FAC9E" w14:textId="77777777" w:rsidR="007C6591" w:rsidRPr="007C6591" w:rsidRDefault="007C6591" w:rsidP="007C6591">
      <w:pPr>
        <w:pStyle w:val="EndNoteBibliography"/>
        <w:spacing w:after="0"/>
        <w:ind w:left="720" w:hanging="720"/>
      </w:pPr>
      <w:r w:rsidRPr="007C6591">
        <w:lastRenderedPageBreak/>
        <w:t xml:space="preserve">Ghate, T. H., Sharma, P., Kondhare, K. R., Hannapel, D. J., &amp; Banerjee, A. K. (2017). The mobile RNAs, StBEL11 and StBEL29, suppress growth of tubers in potato. </w:t>
      </w:r>
      <w:r w:rsidRPr="007C6591">
        <w:rPr>
          <w:i/>
        </w:rPr>
        <w:t>Plant molecular biology</w:t>
      </w:r>
      <w:r w:rsidRPr="007C6591">
        <w:t>,</w:t>
      </w:r>
      <w:r w:rsidRPr="007C6591">
        <w:rPr>
          <w:i/>
        </w:rPr>
        <w:t xml:space="preserve"> 93</w:t>
      </w:r>
      <w:r w:rsidRPr="007C6591">
        <w:t xml:space="preserve">, 563-578. </w:t>
      </w:r>
    </w:p>
    <w:p w14:paraId="2D8455B4" w14:textId="77777777" w:rsidR="007C6591" w:rsidRPr="007C6591" w:rsidRDefault="007C6591" w:rsidP="007C6591">
      <w:pPr>
        <w:pStyle w:val="EndNoteBibliography"/>
        <w:spacing w:after="0"/>
        <w:ind w:left="720" w:hanging="720"/>
      </w:pPr>
      <w:r w:rsidRPr="007C6591">
        <w:t xml:space="preserve">Grabherr, M. G., Haas, B. J., Yassour, M., Levin, J. Z., Thompson, D. A., Amit, I., Adiconis, X., Fan, L., Raychowdhury, R., &amp; Zeng, Q. (2011). Full-length transcriptome assembly from RNA-Seq data without a reference genome. </w:t>
      </w:r>
      <w:r w:rsidRPr="007C6591">
        <w:rPr>
          <w:i/>
        </w:rPr>
        <w:t>Nature biotechnology</w:t>
      </w:r>
      <w:r w:rsidRPr="007C6591">
        <w:t>,</w:t>
      </w:r>
      <w:r w:rsidRPr="007C6591">
        <w:rPr>
          <w:i/>
        </w:rPr>
        <w:t xml:space="preserve"> 29</w:t>
      </w:r>
      <w:r w:rsidRPr="007C6591">
        <w:t xml:space="preserve">(7), 644-652. </w:t>
      </w:r>
    </w:p>
    <w:p w14:paraId="6D584F20" w14:textId="77777777" w:rsidR="007C6591" w:rsidRPr="007C6591" w:rsidRDefault="007C6591" w:rsidP="007C6591">
      <w:pPr>
        <w:pStyle w:val="EndNoteBibliography"/>
        <w:spacing w:after="0"/>
        <w:ind w:left="720" w:hanging="720"/>
      </w:pPr>
      <w:r w:rsidRPr="007C6591">
        <w:t xml:space="preserve">Hannapel, D. J., &amp; Banerjee, A. K. (2017). Multiple mobile mRNA signals regulate tuber development in potato. </w:t>
      </w:r>
      <w:r w:rsidRPr="007C6591">
        <w:rPr>
          <w:i/>
        </w:rPr>
        <w:t>Plants</w:t>
      </w:r>
      <w:r w:rsidRPr="007C6591">
        <w:t>,</w:t>
      </w:r>
      <w:r w:rsidRPr="007C6591">
        <w:rPr>
          <w:i/>
        </w:rPr>
        <w:t xml:space="preserve"> 6</w:t>
      </w:r>
      <w:r w:rsidRPr="007C6591">
        <w:t xml:space="preserve">(1), 8. </w:t>
      </w:r>
    </w:p>
    <w:p w14:paraId="0F635FBD" w14:textId="77777777" w:rsidR="007C6591" w:rsidRPr="007C6591" w:rsidRDefault="007C6591" w:rsidP="007C6591">
      <w:pPr>
        <w:pStyle w:val="EndNoteBibliography"/>
        <w:spacing w:after="0"/>
        <w:ind w:left="720" w:hanging="720"/>
      </w:pPr>
      <w:r w:rsidRPr="007C6591">
        <w:t xml:space="preserve">Haywood, V., Yu, T. S., Huang, N. C., &amp; Lucas, W. J. (2005). Phloem long‐distance trafficking of GIBBERELLIC ACID‐INSENSITIVE RNA regulates leaf development. </w:t>
      </w:r>
      <w:r w:rsidRPr="007C6591">
        <w:rPr>
          <w:i/>
        </w:rPr>
        <w:t>The Plant Journal</w:t>
      </w:r>
      <w:r w:rsidRPr="007C6591">
        <w:t>,</w:t>
      </w:r>
      <w:r w:rsidRPr="007C6591">
        <w:rPr>
          <w:i/>
        </w:rPr>
        <w:t xml:space="preserve"> 42</w:t>
      </w:r>
      <w:r w:rsidRPr="007C6591">
        <w:t xml:space="preserve">(1), 49-68. </w:t>
      </w:r>
    </w:p>
    <w:p w14:paraId="582592D1" w14:textId="77777777" w:rsidR="007C6591" w:rsidRPr="007C6591" w:rsidRDefault="007C6591" w:rsidP="007C6591">
      <w:pPr>
        <w:pStyle w:val="EndNoteBibliography"/>
        <w:spacing w:after="0"/>
        <w:ind w:left="720" w:hanging="720"/>
      </w:pPr>
      <w:r w:rsidRPr="007C6591">
        <w:t xml:space="preserve">Huang, N. C., Jane, W. N., Chen, J., &amp; Yu, T. S. (2012). Arabidopsis thaliana CENTRORADIALIS homologue (ATC) acts systemically to inhibit floral initiation in Arabidopsis. </w:t>
      </w:r>
      <w:r w:rsidRPr="007C6591">
        <w:rPr>
          <w:i/>
        </w:rPr>
        <w:t>The Plant Journal</w:t>
      </w:r>
      <w:r w:rsidRPr="007C6591">
        <w:t>,</w:t>
      </w:r>
      <w:r w:rsidRPr="007C6591">
        <w:rPr>
          <w:i/>
        </w:rPr>
        <w:t xml:space="preserve"> 72</w:t>
      </w:r>
      <w:r w:rsidRPr="007C6591">
        <w:t xml:space="preserve">(2), 175-184. </w:t>
      </w:r>
    </w:p>
    <w:p w14:paraId="05E4D5F4" w14:textId="77777777" w:rsidR="007C6591" w:rsidRPr="007C6591" w:rsidRDefault="007C6591" w:rsidP="007C6591">
      <w:pPr>
        <w:pStyle w:val="EndNoteBibliography"/>
        <w:spacing w:after="0"/>
        <w:ind w:left="720" w:hanging="720"/>
      </w:pPr>
      <w:r w:rsidRPr="007C6591">
        <w:t xml:space="preserve">Khoshravesh, R., Stata, M., Busch, F. A., Saladié, M., Castelli, J. M., Dakin, N., Hattersley, P. W., Macfarlane, T. D., Sage, R. F., &amp; Ludwig, M. (2020). The evolutionary origin of C4 photosynthesis in the grass subtribe Neurachninae. </w:t>
      </w:r>
      <w:r w:rsidRPr="007C6591">
        <w:rPr>
          <w:i/>
        </w:rPr>
        <w:t>Plant Physiology</w:t>
      </w:r>
      <w:r w:rsidRPr="007C6591">
        <w:t>,</w:t>
      </w:r>
      <w:r w:rsidRPr="007C6591">
        <w:rPr>
          <w:i/>
        </w:rPr>
        <w:t xml:space="preserve"> 182</w:t>
      </w:r>
      <w:r w:rsidRPr="007C6591">
        <w:t xml:space="preserve">(1), 566-583. </w:t>
      </w:r>
    </w:p>
    <w:p w14:paraId="4125B93B" w14:textId="77777777" w:rsidR="007C6591" w:rsidRPr="007C6591" w:rsidRDefault="007C6591" w:rsidP="007C6591">
      <w:pPr>
        <w:pStyle w:val="EndNoteBibliography"/>
        <w:spacing w:after="0"/>
        <w:ind w:left="720" w:hanging="720"/>
      </w:pPr>
      <w:r w:rsidRPr="007C6591">
        <w:t xml:space="preserve">Kondhare, K. R., Patil, N. S., &amp; Banerjee, A. K. (2021). A historical overview of long-distance signalling in plants. </w:t>
      </w:r>
      <w:r w:rsidRPr="007C6591">
        <w:rPr>
          <w:i/>
        </w:rPr>
        <w:t>Journal of experimental Botany</w:t>
      </w:r>
      <w:r w:rsidRPr="007C6591">
        <w:t>,</w:t>
      </w:r>
      <w:r w:rsidRPr="007C6591">
        <w:rPr>
          <w:i/>
        </w:rPr>
        <w:t xml:space="preserve"> 72</w:t>
      </w:r>
      <w:r w:rsidRPr="007C6591">
        <w:t xml:space="preserve">(12), 4218-4236. </w:t>
      </w:r>
    </w:p>
    <w:p w14:paraId="0D852BDD" w14:textId="77777777" w:rsidR="007C6591" w:rsidRPr="007C6591" w:rsidRDefault="007C6591" w:rsidP="007C6591">
      <w:pPr>
        <w:pStyle w:val="EndNoteBibliography"/>
        <w:spacing w:after="0"/>
        <w:ind w:left="720" w:hanging="720"/>
      </w:pPr>
      <w:r w:rsidRPr="007C6591">
        <w:t xml:space="preserve">Krogh, A., Larsson, B., Von Heijne, G., &amp; Sonnhammer, E. L. (2001). Predicting transmembrane protein topology with a hidden Markov model: application to complete genomes. </w:t>
      </w:r>
      <w:r w:rsidRPr="007C6591">
        <w:rPr>
          <w:i/>
        </w:rPr>
        <w:t>Journal of molecular biology</w:t>
      </w:r>
      <w:r w:rsidRPr="007C6591">
        <w:t>,</w:t>
      </w:r>
      <w:r w:rsidRPr="007C6591">
        <w:rPr>
          <w:i/>
        </w:rPr>
        <w:t xml:space="preserve"> 305</w:t>
      </w:r>
      <w:r w:rsidRPr="007C6591">
        <w:t xml:space="preserve">(3), 567-580. </w:t>
      </w:r>
    </w:p>
    <w:p w14:paraId="1A7E1402" w14:textId="77777777" w:rsidR="007C6591" w:rsidRPr="007C6591" w:rsidRDefault="007C6591" w:rsidP="007C6591">
      <w:pPr>
        <w:pStyle w:val="EndNoteBibliography"/>
        <w:spacing w:after="0"/>
        <w:ind w:left="720" w:hanging="720"/>
      </w:pPr>
      <w:r w:rsidRPr="007C6591">
        <w:t xml:space="preserve">Lagesen, K., Hallin, P., Rødland, E. A., Stærfeldt, H.-H., Rognes, T., &amp; Ussery, D. W. (2007). RNAmmer: consistent and rapid annotation of ribosomal RNA genes. </w:t>
      </w:r>
      <w:r w:rsidRPr="007C6591">
        <w:rPr>
          <w:i/>
        </w:rPr>
        <w:t>Nucleic acids research</w:t>
      </w:r>
      <w:r w:rsidRPr="007C6591">
        <w:t>,</w:t>
      </w:r>
      <w:r w:rsidRPr="007C6591">
        <w:rPr>
          <w:i/>
        </w:rPr>
        <w:t xml:space="preserve"> 35</w:t>
      </w:r>
      <w:r w:rsidRPr="007C6591">
        <w:t xml:space="preserve">(9), 3100-3108. </w:t>
      </w:r>
    </w:p>
    <w:p w14:paraId="2A8C70B2" w14:textId="77777777" w:rsidR="007C6591" w:rsidRPr="007C6591" w:rsidRDefault="007C6591" w:rsidP="007C6591">
      <w:pPr>
        <w:pStyle w:val="EndNoteBibliography"/>
        <w:spacing w:after="0"/>
        <w:ind w:left="720" w:hanging="720"/>
      </w:pPr>
      <w:r w:rsidRPr="007C6591">
        <w:t xml:space="preserve">Li, B., &amp; Dewey, C. N. (2011). RSEM: accurate transcript quantification from RNA-Seq data with or without a reference genome. </w:t>
      </w:r>
      <w:r w:rsidRPr="007C6591">
        <w:rPr>
          <w:i/>
        </w:rPr>
        <w:t>BMC bioinformatics</w:t>
      </w:r>
      <w:r w:rsidRPr="007C6591">
        <w:t>,</w:t>
      </w:r>
      <w:r w:rsidRPr="007C6591">
        <w:rPr>
          <w:i/>
        </w:rPr>
        <w:t xml:space="preserve"> 12</w:t>
      </w:r>
      <w:r w:rsidRPr="007C6591">
        <w:t xml:space="preserve">, 1-16. </w:t>
      </w:r>
    </w:p>
    <w:p w14:paraId="0E947BAD" w14:textId="77777777" w:rsidR="007C6591" w:rsidRPr="007C6591" w:rsidRDefault="007C6591" w:rsidP="007C6591">
      <w:pPr>
        <w:pStyle w:val="EndNoteBibliography"/>
        <w:spacing w:after="0"/>
        <w:ind w:left="720" w:hanging="720"/>
      </w:pPr>
      <w:r w:rsidRPr="007C6591">
        <w:t xml:space="preserve">Li, W., Chen, S., Liu, Y., Wang, L., Jiang, J., Zhao, S., Fang, W., Chen, F., &amp; Guan, Z. (2022). Long-distance transport RNAs between rootstocks and scions and graft hybridization. </w:t>
      </w:r>
      <w:r w:rsidRPr="007C6591">
        <w:rPr>
          <w:i/>
        </w:rPr>
        <w:t>Planta</w:t>
      </w:r>
      <w:r w:rsidRPr="007C6591">
        <w:t>,</w:t>
      </w:r>
      <w:r w:rsidRPr="007C6591">
        <w:rPr>
          <w:i/>
        </w:rPr>
        <w:t xml:space="preserve"> 255</w:t>
      </w:r>
      <w:r w:rsidRPr="007C6591">
        <w:t xml:space="preserve">(5), 96. </w:t>
      </w:r>
    </w:p>
    <w:p w14:paraId="6CD8D1B1" w14:textId="77777777" w:rsidR="007C6591" w:rsidRPr="007C6591" w:rsidRDefault="007C6591" w:rsidP="007C6591">
      <w:pPr>
        <w:pStyle w:val="EndNoteBibliography"/>
        <w:spacing w:after="0"/>
        <w:ind w:left="720" w:hanging="720"/>
      </w:pPr>
      <w:r w:rsidRPr="007C6591">
        <w:t xml:space="preserve">Love, M. I., Huber, W., &amp; Anders, S. (2014). Moderated estimation of fold change and dispersion for RNA-seq data with DESeq2. </w:t>
      </w:r>
      <w:r w:rsidRPr="007C6591">
        <w:rPr>
          <w:i/>
        </w:rPr>
        <w:t>Genome biology</w:t>
      </w:r>
      <w:r w:rsidRPr="007C6591">
        <w:t>,</w:t>
      </w:r>
      <w:r w:rsidRPr="007C6591">
        <w:rPr>
          <w:i/>
        </w:rPr>
        <w:t xml:space="preserve"> 15</w:t>
      </w:r>
      <w:r w:rsidRPr="007C6591">
        <w:t xml:space="preserve">(12), 1-21. </w:t>
      </w:r>
    </w:p>
    <w:p w14:paraId="4DE60DD0" w14:textId="77777777" w:rsidR="007C6591" w:rsidRPr="007C6591" w:rsidRDefault="007C6591" w:rsidP="007C6591">
      <w:pPr>
        <w:pStyle w:val="EndNoteBibliography"/>
        <w:spacing w:after="0"/>
        <w:ind w:left="720" w:hanging="720"/>
      </w:pPr>
      <w:r w:rsidRPr="007C6591">
        <w:t xml:space="preserve">Lyu, M.-J. A., Wang, Y., Jiang, J., Liu, X., Chen, G., &amp; Zhu, X.-G. (2020). What Matters for C4 Transporters: Evolutionary Changes of Phospho enol pyruvate Transporter for C4 Photosynthesis. </w:t>
      </w:r>
      <w:r w:rsidRPr="007C6591">
        <w:rPr>
          <w:i/>
        </w:rPr>
        <w:t>Frontiers in plant science</w:t>
      </w:r>
      <w:r w:rsidRPr="007C6591">
        <w:t>,</w:t>
      </w:r>
      <w:r w:rsidRPr="007C6591">
        <w:rPr>
          <w:i/>
        </w:rPr>
        <w:t xml:space="preserve"> 11</w:t>
      </w:r>
      <w:r w:rsidRPr="007C6591">
        <w:t xml:space="preserve">, 935. </w:t>
      </w:r>
    </w:p>
    <w:p w14:paraId="67844B0C" w14:textId="77777777" w:rsidR="007C6591" w:rsidRPr="007C6591" w:rsidRDefault="007C6591" w:rsidP="007C6591">
      <w:pPr>
        <w:pStyle w:val="EndNoteBibliography"/>
        <w:spacing w:after="0"/>
        <w:ind w:left="720" w:hanging="720"/>
      </w:pPr>
      <w:r w:rsidRPr="007C6591">
        <w:t xml:space="preserve">Notaguchi, M., Higashiyama, T., &amp; Suzuki, T. (2015). Identification of mRNAs that move over long distances using an RNA-Seq analysis of Arabidopsis/Nicotiana benthamiana heterografts. </w:t>
      </w:r>
      <w:r w:rsidRPr="007C6591">
        <w:rPr>
          <w:i/>
        </w:rPr>
        <w:t>Plant and cell physiology</w:t>
      </w:r>
      <w:r w:rsidRPr="007C6591">
        <w:t>,</w:t>
      </w:r>
      <w:r w:rsidRPr="007C6591">
        <w:rPr>
          <w:i/>
        </w:rPr>
        <w:t xml:space="preserve"> 56</w:t>
      </w:r>
      <w:r w:rsidRPr="007C6591">
        <w:t xml:space="preserve">(2), 311-321. </w:t>
      </w:r>
    </w:p>
    <w:p w14:paraId="68FD495F" w14:textId="77777777" w:rsidR="007C6591" w:rsidRPr="007C6591" w:rsidRDefault="007C6591" w:rsidP="007C6591">
      <w:pPr>
        <w:pStyle w:val="EndNoteBibliography"/>
        <w:spacing w:after="0"/>
        <w:ind w:left="720" w:hanging="720"/>
      </w:pPr>
      <w:r w:rsidRPr="007C6591">
        <w:t xml:space="preserve">Petty, I., French, R., Jones, R., &amp; Jackson, A. (1990). Identification of barley stripe mosaic virus genes involved in viral RNA replication and systemic movement. </w:t>
      </w:r>
      <w:r w:rsidRPr="007C6591">
        <w:rPr>
          <w:i/>
        </w:rPr>
        <w:t>The EMBO journal</w:t>
      </w:r>
      <w:r w:rsidRPr="007C6591">
        <w:t>,</w:t>
      </w:r>
      <w:r w:rsidRPr="007C6591">
        <w:rPr>
          <w:i/>
        </w:rPr>
        <w:t xml:space="preserve"> 9</w:t>
      </w:r>
      <w:r w:rsidRPr="007C6591">
        <w:t xml:space="preserve">(11), 3453-3457. </w:t>
      </w:r>
    </w:p>
    <w:p w14:paraId="506B5DB1" w14:textId="77777777" w:rsidR="007C6591" w:rsidRPr="007C6591" w:rsidRDefault="007C6591" w:rsidP="007C6591">
      <w:pPr>
        <w:pStyle w:val="EndNoteBibliography"/>
        <w:spacing w:after="0"/>
        <w:ind w:left="720" w:hanging="720"/>
      </w:pPr>
      <w:r w:rsidRPr="007C6591">
        <w:t xml:space="preserve">Ryabov, E. V., Robinson, D. J., &amp; Taliansky, M. E. (1999). A plant virus-encoded protein facilitates long-distance movement of heterologous viral RNA. </w:t>
      </w:r>
      <w:r w:rsidRPr="007C6591">
        <w:rPr>
          <w:i/>
        </w:rPr>
        <w:t>Proceedings of the National Academy of Sciences</w:t>
      </w:r>
      <w:r w:rsidRPr="007C6591">
        <w:t>,</w:t>
      </w:r>
      <w:r w:rsidRPr="007C6591">
        <w:rPr>
          <w:i/>
        </w:rPr>
        <w:t xml:space="preserve"> 96</w:t>
      </w:r>
      <w:r w:rsidRPr="007C6591">
        <w:t xml:space="preserve">(4), 1212-1217. </w:t>
      </w:r>
    </w:p>
    <w:p w14:paraId="2CAFF2CC" w14:textId="77777777" w:rsidR="007C6591" w:rsidRPr="007C6591" w:rsidRDefault="007C6591" w:rsidP="007C6591">
      <w:pPr>
        <w:pStyle w:val="EndNoteBibliography"/>
        <w:spacing w:after="0"/>
        <w:ind w:left="720" w:hanging="720"/>
      </w:pPr>
      <w:r w:rsidRPr="007C6591">
        <w:t xml:space="preserve">Spiegelman, Z., Golan, G., &amp; Wolf, S. (2013). Don’t kill the messenger: long-distance trafficking of mRNA molecules. </w:t>
      </w:r>
      <w:r w:rsidRPr="007C6591">
        <w:rPr>
          <w:i/>
        </w:rPr>
        <w:t>Plant Science</w:t>
      </w:r>
      <w:r w:rsidRPr="007C6591">
        <w:t>,</w:t>
      </w:r>
      <w:r w:rsidRPr="007C6591">
        <w:rPr>
          <w:i/>
        </w:rPr>
        <w:t xml:space="preserve"> 213</w:t>
      </w:r>
      <w:r w:rsidRPr="007C6591">
        <w:t xml:space="preserve">, 1-8. </w:t>
      </w:r>
    </w:p>
    <w:p w14:paraId="739454DF" w14:textId="77777777" w:rsidR="007C6591" w:rsidRPr="007C6591" w:rsidRDefault="007C6591" w:rsidP="007C6591">
      <w:pPr>
        <w:pStyle w:val="EndNoteBibliography"/>
        <w:spacing w:after="0"/>
        <w:ind w:left="720" w:hanging="720"/>
      </w:pPr>
      <w:r w:rsidRPr="007C6591">
        <w:t xml:space="preserve">Turgeon, R., &amp; Wolf, S. (2009). Phloem transport: cellular pathways and molecular trafficking. </w:t>
      </w:r>
      <w:r w:rsidRPr="007C6591">
        <w:rPr>
          <w:i/>
        </w:rPr>
        <w:t>Annual review of plant biology</w:t>
      </w:r>
      <w:r w:rsidRPr="007C6591">
        <w:t>,</w:t>
      </w:r>
      <w:r w:rsidRPr="007C6591">
        <w:rPr>
          <w:i/>
        </w:rPr>
        <w:t xml:space="preserve"> 60</w:t>
      </w:r>
      <w:r w:rsidRPr="007C6591">
        <w:t xml:space="preserve">, 207-221. </w:t>
      </w:r>
    </w:p>
    <w:p w14:paraId="3BBEE595" w14:textId="77777777" w:rsidR="007C6591" w:rsidRPr="007C6591" w:rsidRDefault="007C6591" w:rsidP="007C6591">
      <w:pPr>
        <w:pStyle w:val="EndNoteBibliography"/>
        <w:spacing w:after="0"/>
        <w:ind w:left="720" w:hanging="720"/>
      </w:pPr>
      <w:r w:rsidRPr="007C6591">
        <w:t xml:space="preserve">Turnbull, C. G., &amp; Lopez‐Cobollo, R. M. (2013). Heavy traffic in the fast lane: long‐distance signalling by macromolecules. </w:t>
      </w:r>
      <w:r w:rsidRPr="007C6591">
        <w:rPr>
          <w:i/>
        </w:rPr>
        <w:t>New phytologist</w:t>
      </w:r>
      <w:r w:rsidRPr="007C6591">
        <w:t>,</w:t>
      </w:r>
      <w:r w:rsidRPr="007C6591">
        <w:rPr>
          <w:i/>
        </w:rPr>
        <w:t xml:space="preserve"> 198</w:t>
      </w:r>
      <w:r w:rsidRPr="007C6591">
        <w:t xml:space="preserve">(1), 33-51. </w:t>
      </w:r>
    </w:p>
    <w:p w14:paraId="20DA5AD8" w14:textId="77777777" w:rsidR="007C6591" w:rsidRPr="007C6591" w:rsidRDefault="007C6591" w:rsidP="007C6591">
      <w:pPr>
        <w:pStyle w:val="EndNoteBibliography"/>
        <w:spacing w:after="0"/>
        <w:ind w:left="720" w:hanging="720"/>
      </w:pPr>
      <w:r w:rsidRPr="007C6591">
        <w:lastRenderedPageBreak/>
        <w:t xml:space="preserve">Wang, Y., Wang, L., Xing, N., Wu, X., Wu, X., Wang, B., Lu, Z., Xu, P., Tao, Y., &amp; Li, G. (2020). A universal pipeline for mobile mRNA detection and insights into heterografting advantages under chilling stress. </w:t>
      </w:r>
      <w:r w:rsidRPr="007C6591">
        <w:rPr>
          <w:i/>
        </w:rPr>
        <w:t>Horticulture research</w:t>
      </w:r>
      <w:r w:rsidRPr="007C6591">
        <w:t>,</w:t>
      </w:r>
      <w:r w:rsidRPr="007C6591">
        <w:rPr>
          <w:i/>
        </w:rPr>
        <w:t xml:space="preserve"> 7</w:t>
      </w:r>
      <w:r w:rsidRPr="007C6591">
        <w:t xml:space="preserve">. </w:t>
      </w:r>
    </w:p>
    <w:p w14:paraId="52493D74" w14:textId="77777777" w:rsidR="007C6591" w:rsidRPr="007C6591" w:rsidRDefault="007C6591" w:rsidP="007C6591">
      <w:pPr>
        <w:pStyle w:val="EndNoteBibliography"/>
        <w:spacing w:after="0"/>
        <w:ind w:left="720" w:hanging="720"/>
      </w:pPr>
      <w:r w:rsidRPr="007C6591">
        <w:t xml:space="preserve">Xia, C., &amp; Zhang, C. (2020). Long-distance movement of mRNAs in plants. </w:t>
      </w:r>
      <w:r w:rsidRPr="007C6591">
        <w:rPr>
          <w:i/>
        </w:rPr>
        <w:t>Plants</w:t>
      </w:r>
      <w:r w:rsidRPr="007C6591">
        <w:t>,</w:t>
      </w:r>
      <w:r w:rsidRPr="007C6591">
        <w:rPr>
          <w:i/>
        </w:rPr>
        <w:t xml:space="preserve"> 9</w:t>
      </w:r>
      <w:r w:rsidRPr="007C6591">
        <w:t xml:space="preserve">(6), 731. </w:t>
      </w:r>
    </w:p>
    <w:p w14:paraId="3F9E7D55" w14:textId="77777777" w:rsidR="007C6591" w:rsidRPr="007C6591" w:rsidRDefault="007C6591" w:rsidP="007C6591">
      <w:pPr>
        <w:pStyle w:val="EndNoteBibliography"/>
        <w:spacing w:after="0"/>
        <w:ind w:left="720" w:hanging="720"/>
      </w:pPr>
      <w:r w:rsidRPr="007C6591">
        <w:t xml:space="preserve">Xia, C., Zheng, Y., Huang, J., Zhou, X., Li, R., Zha, M., Wang, S., Huang, Z., Lan, H., &amp; Turgeon, R. (2018). Elucidation of the mechanisms of long-distance mRNA movement in a Nicotiana benthamiana/tomato heterograft system. </w:t>
      </w:r>
      <w:r w:rsidRPr="007C6591">
        <w:rPr>
          <w:i/>
        </w:rPr>
        <w:t>Plant Physiology</w:t>
      </w:r>
      <w:r w:rsidRPr="007C6591">
        <w:t>,</w:t>
      </w:r>
      <w:r w:rsidRPr="007C6591">
        <w:rPr>
          <w:i/>
        </w:rPr>
        <w:t xml:space="preserve"> 177</w:t>
      </w:r>
      <w:r w:rsidRPr="007C6591">
        <w:t xml:space="preserve">(2), 745-758. </w:t>
      </w:r>
    </w:p>
    <w:p w14:paraId="7DFF392A" w14:textId="77777777" w:rsidR="007C6591" w:rsidRPr="007C6591" w:rsidRDefault="007C6591" w:rsidP="007C6591">
      <w:pPr>
        <w:pStyle w:val="EndNoteBibliography"/>
        <w:spacing w:after="0"/>
        <w:ind w:left="720" w:hanging="720"/>
      </w:pPr>
      <w:r w:rsidRPr="007C6591">
        <w:t xml:space="preserve">Yang, Y., Mao, L., Jittayasothorn, Y., Kang, Y., Jiao, C., Fei, Z., &amp; Zhong, G.-Y. (2015). Messenger RNA exchange between scions and rootstocks in grafted grapevines. </w:t>
      </w:r>
      <w:r w:rsidRPr="007C6591">
        <w:rPr>
          <w:i/>
        </w:rPr>
        <w:t>BMC Plant Biology</w:t>
      </w:r>
      <w:r w:rsidRPr="007C6591">
        <w:t>,</w:t>
      </w:r>
      <w:r w:rsidRPr="007C6591">
        <w:rPr>
          <w:i/>
        </w:rPr>
        <w:t xml:space="preserve"> 15</w:t>
      </w:r>
      <w:r w:rsidRPr="007C6591">
        <w:t xml:space="preserve">(1), 1-14. </w:t>
      </w:r>
    </w:p>
    <w:p w14:paraId="31D9A644" w14:textId="77777777" w:rsidR="007C6591" w:rsidRPr="007C6591" w:rsidRDefault="007C6591" w:rsidP="007C6591">
      <w:pPr>
        <w:pStyle w:val="EndNoteBibliography"/>
        <w:spacing w:after="0"/>
        <w:ind w:left="720" w:hanging="720"/>
      </w:pPr>
      <w:r w:rsidRPr="007C6591">
        <w:t xml:space="preserve">Yoo, S. J., Hong, S. M., Jung, H. S., &amp; Ahn, J. H. (2013). The cotyledons produce sufficient FT protein to induce flowering: evidence from cotyledon micrografting in Arabidopsis. </w:t>
      </w:r>
      <w:r w:rsidRPr="007C6591">
        <w:rPr>
          <w:i/>
        </w:rPr>
        <w:t>Plant and cell physiology</w:t>
      </w:r>
      <w:r w:rsidRPr="007C6591">
        <w:t>,</w:t>
      </w:r>
      <w:r w:rsidRPr="007C6591">
        <w:rPr>
          <w:i/>
        </w:rPr>
        <w:t xml:space="preserve"> 54</w:t>
      </w:r>
      <w:r w:rsidRPr="007C6591">
        <w:t xml:space="preserve">(1), 119-128. </w:t>
      </w:r>
    </w:p>
    <w:p w14:paraId="072F0F0F" w14:textId="77777777" w:rsidR="007C6591" w:rsidRPr="007C6591" w:rsidRDefault="007C6591" w:rsidP="007C6591">
      <w:pPr>
        <w:pStyle w:val="EndNoteBibliography"/>
        <w:spacing w:after="0"/>
        <w:ind w:left="720" w:hanging="720"/>
      </w:pPr>
      <w:r w:rsidRPr="007C6591">
        <w:t xml:space="preserve">Yoshida, S., Cui, S., Ichihashi, Y., &amp; Shirasu, K. (2016). The haustorium, a specialized invasive organ in parasitic plants. </w:t>
      </w:r>
      <w:r w:rsidRPr="007C6591">
        <w:rPr>
          <w:i/>
        </w:rPr>
        <w:t>Annual review of plant biology</w:t>
      </w:r>
      <w:r w:rsidRPr="007C6591">
        <w:t>,</w:t>
      </w:r>
      <w:r w:rsidRPr="007C6591">
        <w:rPr>
          <w:i/>
        </w:rPr>
        <w:t xml:space="preserve"> 67</w:t>
      </w:r>
      <w:r w:rsidRPr="007C6591">
        <w:t xml:space="preserve">, 643-667. </w:t>
      </w:r>
    </w:p>
    <w:p w14:paraId="292A83B3" w14:textId="77777777" w:rsidR="007C6591" w:rsidRPr="007C6591" w:rsidRDefault="007C6591" w:rsidP="007C6591">
      <w:pPr>
        <w:pStyle w:val="EndNoteBibliography"/>
        <w:ind w:left="720" w:hanging="720"/>
      </w:pPr>
      <w:r w:rsidRPr="007C6591">
        <w:t xml:space="preserve">Zhang, G., Zhou, J., Song, J., Guo, X., Nie, X., &amp; Guo, H. (2022). Grafting-induced transcriptome changes and long-distance mRNA movement in the potato/Datura stramonium heterograft system. </w:t>
      </w:r>
      <w:r w:rsidRPr="007C6591">
        <w:rPr>
          <w:i/>
        </w:rPr>
        <w:t>Horticulture, Environment, and Biotechnology</w:t>
      </w:r>
      <w:r w:rsidRPr="007C6591">
        <w:t>,</w:t>
      </w:r>
      <w:r w:rsidRPr="007C6591">
        <w:rPr>
          <w:i/>
        </w:rPr>
        <w:t xml:space="preserve"> 63</w:t>
      </w:r>
      <w:r w:rsidRPr="007C6591">
        <w:t xml:space="preserve">(2), 229-238. </w:t>
      </w:r>
    </w:p>
    <w:p w14:paraId="12192D7B" w14:textId="1BE2CB24" w:rsidR="0098756D" w:rsidRPr="00B93802" w:rsidRDefault="00530443" w:rsidP="007C6591">
      <w:pPr>
        <w:jc w:val="both"/>
        <w:rPr>
          <w:rFonts w:asciiTheme="majorBidi" w:hAnsiTheme="majorBidi" w:cstheme="majorBidi"/>
          <w:sz w:val="24"/>
          <w:szCs w:val="24"/>
        </w:rPr>
      </w:pPr>
      <w:r w:rsidRPr="00B93802">
        <w:rPr>
          <w:rFonts w:asciiTheme="majorBidi" w:hAnsiTheme="majorBidi" w:cstheme="majorBidi"/>
          <w:sz w:val="24"/>
          <w:szCs w:val="24"/>
        </w:rPr>
        <w:fldChar w:fldCharType="end"/>
      </w:r>
    </w:p>
    <w:sectPr w:rsidR="0098756D" w:rsidRPr="00B93802"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52&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record-ids&gt;&lt;/item&gt;&lt;/Libraries&gt;"/>
  </w:docVars>
  <w:rsids>
    <w:rsidRoot w:val="00F81DD7"/>
    <w:rsid w:val="00020A99"/>
    <w:rsid w:val="00071581"/>
    <w:rsid w:val="000F3AA7"/>
    <w:rsid w:val="0013356D"/>
    <w:rsid w:val="00136BA0"/>
    <w:rsid w:val="00154DD6"/>
    <w:rsid w:val="001C02A0"/>
    <w:rsid w:val="001D4EEE"/>
    <w:rsid w:val="001F45CD"/>
    <w:rsid w:val="00210584"/>
    <w:rsid w:val="002220B4"/>
    <w:rsid w:val="00254335"/>
    <w:rsid w:val="00262478"/>
    <w:rsid w:val="002635F1"/>
    <w:rsid w:val="00265F26"/>
    <w:rsid w:val="002741D5"/>
    <w:rsid w:val="00291715"/>
    <w:rsid w:val="002A38D8"/>
    <w:rsid w:val="002E2F4D"/>
    <w:rsid w:val="00317A37"/>
    <w:rsid w:val="00344583"/>
    <w:rsid w:val="00367D8E"/>
    <w:rsid w:val="00377265"/>
    <w:rsid w:val="003A1A63"/>
    <w:rsid w:val="00402AB7"/>
    <w:rsid w:val="00425924"/>
    <w:rsid w:val="00430574"/>
    <w:rsid w:val="00441F46"/>
    <w:rsid w:val="004519E4"/>
    <w:rsid w:val="00451BD0"/>
    <w:rsid w:val="004579DE"/>
    <w:rsid w:val="0046134C"/>
    <w:rsid w:val="00482945"/>
    <w:rsid w:val="00497826"/>
    <w:rsid w:val="004D7C43"/>
    <w:rsid w:val="004F19E2"/>
    <w:rsid w:val="00512EAB"/>
    <w:rsid w:val="0051448A"/>
    <w:rsid w:val="00514630"/>
    <w:rsid w:val="00515CCD"/>
    <w:rsid w:val="00530443"/>
    <w:rsid w:val="00533BDC"/>
    <w:rsid w:val="00557B69"/>
    <w:rsid w:val="005766E6"/>
    <w:rsid w:val="00580E4A"/>
    <w:rsid w:val="0058111D"/>
    <w:rsid w:val="005825C2"/>
    <w:rsid w:val="00590518"/>
    <w:rsid w:val="005B51C3"/>
    <w:rsid w:val="005F7929"/>
    <w:rsid w:val="0060226B"/>
    <w:rsid w:val="00612C1A"/>
    <w:rsid w:val="00653C79"/>
    <w:rsid w:val="00661899"/>
    <w:rsid w:val="006D4D98"/>
    <w:rsid w:val="006E4FD6"/>
    <w:rsid w:val="006E5C73"/>
    <w:rsid w:val="006F0B9C"/>
    <w:rsid w:val="006F4336"/>
    <w:rsid w:val="00710BA6"/>
    <w:rsid w:val="007146EA"/>
    <w:rsid w:val="00741F78"/>
    <w:rsid w:val="0074202F"/>
    <w:rsid w:val="0076383E"/>
    <w:rsid w:val="007A6CC6"/>
    <w:rsid w:val="007B0375"/>
    <w:rsid w:val="007C6591"/>
    <w:rsid w:val="007F2B3C"/>
    <w:rsid w:val="00811902"/>
    <w:rsid w:val="00861857"/>
    <w:rsid w:val="00872EAD"/>
    <w:rsid w:val="00875834"/>
    <w:rsid w:val="00896FD5"/>
    <w:rsid w:val="008A33BE"/>
    <w:rsid w:val="008B6EE2"/>
    <w:rsid w:val="008F0080"/>
    <w:rsid w:val="00913730"/>
    <w:rsid w:val="009440FE"/>
    <w:rsid w:val="00944A4F"/>
    <w:rsid w:val="00967BCF"/>
    <w:rsid w:val="0098756D"/>
    <w:rsid w:val="00A11335"/>
    <w:rsid w:val="00A61674"/>
    <w:rsid w:val="00A67B33"/>
    <w:rsid w:val="00AD221B"/>
    <w:rsid w:val="00AD4207"/>
    <w:rsid w:val="00B10EBE"/>
    <w:rsid w:val="00B30EDE"/>
    <w:rsid w:val="00B512DD"/>
    <w:rsid w:val="00B93802"/>
    <w:rsid w:val="00BC0555"/>
    <w:rsid w:val="00BC7532"/>
    <w:rsid w:val="00BD6561"/>
    <w:rsid w:val="00BD69BA"/>
    <w:rsid w:val="00BE1E1E"/>
    <w:rsid w:val="00BF2385"/>
    <w:rsid w:val="00C062BE"/>
    <w:rsid w:val="00C61FCE"/>
    <w:rsid w:val="00C7041D"/>
    <w:rsid w:val="00D15847"/>
    <w:rsid w:val="00D318ED"/>
    <w:rsid w:val="00D55572"/>
    <w:rsid w:val="00D5668A"/>
    <w:rsid w:val="00D71AAA"/>
    <w:rsid w:val="00D74128"/>
    <w:rsid w:val="00D85B5F"/>
    <w:rsid w:val="00DA7675"/>
    <w:rsid w:val="00DB4B95"/>
    <w:rsid w:val="00DF477D"/>
    <w:rsid w:val="00E12F71"/>
    <w:rsid w:val="00E152BD"/>
    <w:rsid w:val="00E27938"/>
    <w:rsid w:val="00E43A28"/>
    <w:rsid w:val="00E44B34"/>
    <w:rsid w:val="00E475E8"/>
    <w:rsid w:val="00EF408E"/>
    <w:rsid w:val="00EF4ACB"/>
    <w:rsid w:val="00F01039"/>
    <w:rsid w:val="00F729F0"/>
    <w:rsid w:val="00F81DD7"/>
    <w:rsid w:val="00F87CE8"/>
    <w:rsid w:val="00FC073B"/>
    <w:rsid w:val="00FD1449"/>
    <w:rsid w:val="00FF2BDD"/>
    <w:rsid w:val="00FF728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 w:type="character" w:styleId="Hyperlink">
    <w:name w:val="Hyperlink"/>
    <w:basedOn w:val="DefaultParagraphFont"/>
    <w:uiPriority w:val="99"/>
    <w:semiHidden/>
    <w:unhideWhenUsed/>
    <w:rsid w:val="00B93802"/>
    <w:rPr>
      <w:color w:val="0000FF"/>
      <w:u w:val="single"/>
    </w:rPr>
  </w:style>
  <w:style w:type="table" w:styleId="TableGrid">
    <w:name w:val="Table Grid"/>
    <w:basedOn w:val="TableNormal"/>
    <w:uiPriority w:val="39"/>
    <w:rsid w:val="00514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43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nsDecoder/TransDe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6977</Words>
  <Characters>39774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84</cp:revision>
  <dcterms:created xsi:type="dcterms:W3CDTF">2023-02-04T15:07:00Z</dcterms:created>
  <dcterms:modified xsi:type="dcterms:W3CDTF">2023-02-08T08:37:00Z</dcterms:modified>
</cp:coreProperties>
</file>