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530443" w:rsidRDefault="0098756D" w:rsidP="005766E6">
      <w:pPr>
        <w:jc w:val="both"/>
        <w:rPr>
          <w:rFonts w:asciiTheme="majorBidi" w:hAnsiTheme="majorBidi" w:cstheme="majorBidi"/>
          <w:b/>
          <w:bCs/>
          <w:sz w:val="24"/>
          <w:szCs w:val="24"/>
        </w:rPr>
      </w:pPr>
      <w:r w:rsidRPr="00530443">
        <w:rPr>
          <w:rFonts w:asciiTheme="majorBidi" w:hAnsiTheme="majorBidi" w:cstheme="majorBidi"/>
          <w:b/>
          <w:bCs/>
          <w:sz w:val="24"/>
          <w:szCs w:val="24"/>
        </w:rPr>
        <w:t>Introduction</w:t>
      </w:r>
    </w:p>
    <w:p w14:paraId="3C8D48C7" w14:textId="1E907402" w:rsidR="007A6CC6" w:rsidRDefault="00BC7532" w:rsidP="009440FE">
      <w:pPr>
        <w:jc w:val="both"/>
        <w:rPr>
          <w:rFonts w:asciiTheme="majorBidi" w:hAnsiTheme="majorBidi" w:cstheme="majorBidi"/>
          <w:sz w:val="24"/>
          <w:szCs w:val="24"/>
        </w:rPr>
      </w:pPr>
      <w:r w:rsidRPr="00AD221B">
        <w:rPr>
          <w:rFonts w:asciiTheme="majorBidi" w:hAnsiTheme="majorBidi" w:cstheme="majorBidi"/>
          <w:sz w:val="24"/>
          <w:szCs w:val="24"/>
        </w:rPr>
        <w:t>Grafting is an old technique that has been used for the production of individuals with higher resistance to stress</w:t>
      </w:r>
      <w:r>
        <w:rPr>
          <w:rFonts w:asciiTheme="majorBidi" w:hAnsiTheme="majorBidi" w:cstheme="majorBidi"/>
          <w:sz w:val="24"/>
          <w:szCs w:val="24"/>
        </w:rPr>
        <w:t>es</w:t>
      </w:r>
      <w:r w:rsidRPr="00AD221B">
        <w:rPr>
          <w:rFonts w:asciiTheme="majorBidi" w:hAnsiTheme="majorBidi" w:cstheme="majorBidi"/>
          <w:sz w:val="24"/>
          <w:szCs w:val="24"/>
        </w:rPr>
        <w:t xml:space="preserve">, precocious flowering plants, controlling of plant architecture, and </w:t>
      </w:r>
      <w:r w:rsidRPr="00265F26">
        <w:rPr>
          <w:rFonts w:asciiTheme="majorBidi" w:hAnsiTheme="majorBidi" w:cstheme="majorBidi"/>
          <w:sz w:val="24"/>
          <w:szCs w:val="24"/>
          <w:highlight w:val="yellow"/>
        </w:rPr>
        <w:t>or ….</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 Yang et al.,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515CCD">
        <w:rPr>
          <w:rFonts w:asciiTheme="majorBidi" w:hAnsiTheme="majorBidi" w:cstheme="majorBidi"/>
          <w:sz w:val="24"/>
          <w:szCs w:val="24"/>
        </w:rPr>
        <w:t>Potato/tomato heterografting, w</w:t>
      </w:r>
      <w:r w:rsidR="00E44B34">
        <w:rPr>
          <w:rFonts w:asciiTheme="majorBidi" w:hAnsiTheme="majorBidi" w:cstheme="majorBidi"/>
          <w:sz w:val="24"/>
          <w:szCs w:val="24"/>
        </w:rPr>
        <w:t>atermelon/bottle gourd, or fruit grafting are some examples that heterografting help</w:t>
      </w:r>
      <w:r w:rsidR="00425924">
        <w:rPr>
          <w:rFonts w:asciiTheme="majorBidi" w:hAnsiTheme="majorBidi" w:cstheme="majorBidi"/>
          <w:sz w:val="24"/>
          <w:szCs w:val="24"/>
        </w:rPr>
        <w:t>ed</w:t>
      </w:r>
      <w:r w:rsidR="00E44B34">
        <w:rPr>
          <w:rFonts w:asciiTheme="majorBidi" w:hAnsiTheme="majorBidi" w:cstheme="majorBidi"/>
          <w:sz w:val="24"/>
          <w:szCs w:val="24"/>
        </w:rPr>
        <w:t xml:space="preserve"> plants to survive </w:t>
      </w:r>
      <w:r w:rsidR="004D7C43">
        <w:rPr>
          <w:rFonts w:asciiTheme="majorBidi" w:hAnsiTheme="majorBidi" w:cstheme="majorBidi"/>
          <w:sz w:val="24"/>
          <w:szCs w:val="24"/>
        </w:rPr>
        <w:t>under</w:t>
      </w:r>
      <w:r w:rsidR="00E44B34">
        <w:rPr>
          <w:rFonts w:asciiTheme="majorBidi" w:hAnsiTheme="majorBidi" w:cstheme="majorBidi"/>
          <w:sz w:val="24"/>
          <w:szCs w:val="24"/>
        </w:rPr>
        <w:t xml:space="preserve"> stresses or hav</w:t>
      </w:r>
      <w:r w:rsidR="004D7C43">
        <w:rPr>
          <w:rFonts w:asciiTheme="majorBidi" w:hAnsiTheme="majorBidi" w:cstheme="majorBidi"/>
          <w:sz w:val="24"/>
          <w:szCs w:val="24"/>
        </w:rPr>
        <w:t>e</w:t>
      </w:r>
      <w:r w:rsidR="00E44B34">
        <w:rPr>
          <w:rFonts w:asciiTheme="majorBidi" w:hAnsiTheme="majorBidi" w:cstheme="majorBidi"/>
          <w:sz w:val="24"/>
          <w:szCs w:val="24"/>
        </w:rPr>
        <w:t xml:space="preserve"> better growth in different situations </w:t>
      </w:r>
      <w:r w:rsidR="006F0B9C">
        <w:rPr>
          <w:rFonts w:asciiTheme="majorBidi" w:hAnsiTheme="majorBidi" w:cstheme="majorBidi"/>
          <w:sz w:val="24"/>
          <w:szCs w:val="24"/>
        </w:rPr>
        <w:fldChar w:fldCharType="begin"/>
      </w:r>
      <w:r w:rsidR="006F0B9C">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Pr>
          <w:rFonts w:asciiTheme="majorBidi" w:hAnsiTheme="majorBidi" w:cstheme="majorBidi"/>
          <w:sz w:val="24"/>
          <w:szCs w:val="24"/>
        </w:rPr>
        <w:fldChar w:fldCharType="separate"/>
      </w:r>
      <w:r w:rsidR="006F0B9C">
        <w:rPr>
          <w:rFonts w:asciiTheme="majorBidi" w:hAnsiTheme="majorBidi" w:cstheme="majorBidi"/>
          <w:noProof/>
          <w:sz w:val="24"/>
          <w:szCs w:val="24"/>
        </w:rPr>
        <w:t>(Wang et al., 2020; Zhang et al., 2022)</w:t>
      </w:r>
      <w:r w:rsidR="006F0B9C">
        <w:rPr>
          <w:rFonts w:asciiTheme="majorBidi" w:hAnsiTheme="majorBidi" w:cstheme="majorBidi"/>
          <w:sz w:val="24"/>
          <w:szCs w:val="24"/>
        </w:rPr>
        <w:fldChar w:fldCharType="end"/>
      </w:r>
      <w:r w:rsidR="006F0B9C">
        <w:rPr>
          <w:rFonts w:asciiTheme="majorBidi" w:hAnsiTheme="majorBidi" w:cstheme="majorBidi"/>
          <w:sz w:val="24"/>
          <w:szCs w:val="24"/>
        </w:rPr>
        <w:t>.</w:t>
      </w:r>
      <w:r w:rsidR="00E475E8">
        <w:rPr>
          <w:rFonts w:asciiTheme="majorBidi" w:hAnsiTheme="majorBidi" w:cstheme="majorBidi"/>
          <w:sz w:val="24"/>
          <w:szCs w:val="24"/>
        </w:rPr>
        <w:t xml:space="preserve"> </w:t>
      </w:r>
      <w:r w:rsidR="00E475E8" w:rsidRPr="001F45CD">
        <w:rPr>
          <w:rFonts w:asciiTheme="majorBidi" w:hAnsiTheme="majorBidi" w:cstheme="majorBidi"/>
          <w:sz w:val="24"/>
          <w:szCs w:val="24"/>
        </w:rPr>
        <w:t>G</w:t>
      </w:r>
      <w:r w:rsidRPr="001F45CD">
        <w:rPr>
          <w:rFonts w:asciiTheme="majorBidi" w:hAnsiTheme="majorBidi" w:cstheme="majorBidi"/>
          <w:sz w:val="24"/>
          <w:szCs w:val="24"/>
        </w:rPr>
        <w:t>rafting causes changes in the heterograft traits</w:t>
      </w:r>
      <w:r w:rsidR="00E475E8">
        <w:rPr>
          <w:rFonts w:asciiTheme="majorBidi" w:hAnsiTheme="majorBidi" w:cstheme="majorBidi"/>
          <w:sz w:val="24"/>
          <w:szCs w:val="24"/>
        </w:rPr>
        <w:t xml:space="preserve"> but</w:t>
      </w:r>
      <w:r w:rsidRPr="001F45CD">
        <w:rPr>
          <w:rFonts w:asciiTheme="majorBidi" w:hAnsiTheme="majorBidi" w:cstheme="majorBidi"/>
          <w:sz w:val="24"/>
          <w:szCs w:val="24"/>
        </w:rPr>
        <w:t xml:space="preserve"> the molecular mechanism</w:t>
      </w:r>
      <w:r>
        <w:rPr>
          <w:rFonts w:asciiTheme="majorBidi" w:hAnsiTheme="majorBidi" w:cstheme="majorBidi"/>
          <w:sz w:val="24"/>
          <w:szCs w:val="24"/>
        </w:rPr>
        <w:t>s</w:t>
      </w:r>
      <w:r w:rsidRPr="001F45CD">
        <w:rPr>
          <w:rFonts w:asciiTheme="majorBidi" w:hAnsiTheme="majorBidi" w:cstheme="majorBidi"/>
          <w:sz w:val="24"/>
          <w:szCs w:val="24"/>
        </w:rPr>
        <w:t xml:space="preserve"> behind that had been unknown for decades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w:t>
      </w:r>
      <w:r>
        <w:rPr>
          <w:rFonts w:asciiTheme="majorBidi" w:hAnsiTheme="majorBidi" w:cstheme="majorBidi"/>
          <w:sz w:val="24"/>
          <w:szCs w:val="24"/>
        </w:rPr>
        <w:fldChar w:fldCharType="end"/>
      </w:r>
      <w:r>
        <w:rPr>
          <w:rFonts w:asciiTheme="majorBidi" w:hAnsiTheme="majorBidi" w:cstheme="majorBidi"/>
          <w:sz w:val="24"/>
          <w:szCs w:val="24"/>
        </w:rPr>
        <w:t>.</w:t>
      </w:r>
      <w:r w:rsidR="00210584">
        <w:rPr>
          <w:rFonts w:asciiTheme="majorBidi" w:hAnsiTheme="majorBidi" w:cstheme="majorBidi"/>
          <w:sz w:val="24"/>
          <w:szCs w:val="24"/>
        </w:rPr>
        <w:t xml:space="preserve"> </w:t>
      </w:r>
      <w:r w:rsidR="004D7C43">
        <w:rPr>
          <w:rFonts w:asciiTheme="majorBidi" w:hAnsiTheme="majorBidi" w:cstheme="majorBidi"/>
          <w:sz w:val="24"/>
          <w:szCs w:val="24"/>
        </w:rPr>
        <w:t>There must exist a communication system</w:t>
      </w:r>
      <w:r w:rsidR="004D7C43" w:rsidRPr="004D7C43">
        <w:rPr>
          <w:rFonts w:asciiTheme="majorBidi" w:hAnsiTheme="majorBidi" w:cstheme="majorBidi"/>
          <w:sz w:val="24"/>
          <w:szCs w:val="24"/>
        </w:rPr>
        <w:t xml:space="preserve"> </w:t>
      </w:r>
      <w:r w:rsidR="004D7C43">
        <w:rPr>
          <w:rFonts w:asciiTheme="majorBidi" w:hAnsiTheme="majorBidi" w:cstheme="majorBidi"/>
          <w:sz w:val="24"/>
          <w:szCs w:val="24"/>
        </w:rPr>
        <w:t xml:space="preserve">between different compartments within cells, adjacent cells, and different organs that could transport the environmental or developmental signals that also transport back and forward signals among rootstock and scion in heterografts </w: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 </w:instrTex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EN.CITE.DATA </w:instrText>
      </w:r>
      <w:r w:rsidR="00210584">
        <w:rPr>
          <w:rFonts w:asciiTheme="majorBidi" w:hAnsiTheme="majorBidi" w:cstheme="majorBidi"/>
          <w:sz w:val="24"/>
          <w:szCs w:val="24"/>
        </w:rPr>
      </w:r>
      <w:r w:rsidR="00210584">
        <w:rPr>
          <w:rFonts w:asciiTheme="majorBidi" w:hAnsiTheme="majorBidi" w:cstheme="majorBidi"/>
          <w:sz w:val="24"/>
          <w:szCs w:val="24"/>
        </w:rPr>
        <w:fldChar w:fldCharType="end"/>
      </w:r>
      <w:r w:rsidR="00210584">
        <w:rPr>
          <w:rFonts w:asciiTheme="majorBidi" w:hAnsiTheme="majorBidi" w:cstheme="majorBidi"/>
          <w:sz w:val="24"/>
          <w:szCs w:val="24"/>
        </w:rPr>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(Spiegelman et al., 2013; Turnbull &amp; Lopez‐Cobollo, 2013; Xia &amp; Zhang, 2020)</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(Turgeon &amp; Wolf, 2009)</w:t>
      </w:r>
      <w:r w:rsidR="00210584">
        <w:rPr>
          <w:rFonts w:asciiTheme="majorBidi" w:hAnsiTheme="majorBidi" w:cstheme="majorBidi"/>
          <w:sz w:val="24"/>
          <w:szCs w:val="24"/>
        </w:rPr>
        <w:fldChar w:fldCharType="end"/>
      </w:r>
      <w:r w:rsidR="00210584">
        <w:rPr>
          <w:rFonts w:asciiTheme="majorBidi" w:hAnsiTheme="majorBidi" w:cstheme="majorBidi"/>
          <w:sz w:val="24"/>
          <w:szCs w:val="24"/>
        </w:rPr>
        <w:t>. Unlike other long-distance transport molecules, the biological functions of mobile RNAs have not been completely identified</w:t>
      </w:r>
      <w:r w:rsidR="004F19E2">
        <w:rPr>
          <w:rFonts w:asciiTheme="majorBidi" w:hAnsiTheme="majorBidi" w:cstheme="majorBidi"/>
          <w:sz w:val="24"/>
          <w:szCs w:val="24"/>
        </w:rPr>
        <w:t xml:space="preserve"> </w:t>
      </w:r>
      <w:r w:rsidR="004F19E2">
        <w:rPr>
          <w:rFonts w:asciiTheme="majorBidi" w:hAnsiTheme="majorBidi" w:cstheme="majorBidi"/>
          <w:sz w:val="24"/>
          <w:szCs w:val="24"/>
        </w:rPr>
        <w:fldChar w:fldCharType="begin"/>
      </w:r>
      <w:r w:rsidR="004F19E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Pr>
          <w:rFonts w:asciiTheme="majorBidi" w:hAnsiTheme="majorBidi" w:cstheme="majorBidi"/>
          <w:sz w:val="24"/>
          <w:szCs w:val="24"/>
        </w:rPr>
        <w:fldChar w:fldCharType="separate"/>
      </w:r>
      <w:r w:rsidR="004F19E2">
        <w:rPr>
          <w:rFonts w:asciiTheme="majorBidi" w:hAnsiTheme="majorBidi" w:cstheme="majorBidi"/>
          <w:noProof/>
          <w:sz w:val="24"/>
          <w:szCs w:val="24"/>
        </w:rPr>
        <w:t>(Xia &amp; Zhang, 2020)</w:t>
      </w:r>
      <w:r w:rsidR="004F19E2">
        <w:rPr>
          <w:rFonts w:asciiTheme="majorBidi" w:hAnsiTheme="majorBidi" w:cstheme="majorBidi"/>
          <w:sz w:val="24"/>
          <w:szCs w:val="24"/>
        </w:rPr>
        <w:fldChar w:fldCharType="end"/>
      </w:r>
      <w:r w:rsidR="00210584">
        <w:rPr>
          <w:rFonts w:asciiTheme="majorBidi" w:hAnsiTheme="majorBidi" w:cstheme="majorBidi"/>
          <w:sz w:val="24"/>
          <w:szCs w:val="24"/>
        </w:rPr>
        <w:t xml:space="preserve">. </w:t>
      </w:r>
      <w:r w:rsidR="007A6CC6">
        <w:rPr>
          <w:rFonts w:asciiTheme="majorBidi" w:hAnsiTheme="majorBidi" w:cstheme="majorBidi"/>
          <w:sz w:val="24"/>
          <w:szCs w:val="24"/>
        </w:rPr>
        <w:t xml:space="preserve">The signaling role of RNAs was </w:t>
      </w:r>
      <w:r w:rsidR="002E2F4D">
        <w:rPr>
          <w:rFonts w:asciiTheme="majorBidi" w:hAnsiTheme="majorBidi" w:cstheme="majorBidi"/>
          <w:sz w:val="24"/>
          <w:szCs w:val="24"/>
        </w:rPr>
        <w:t xml:space="preserve">firstly </w:t>
      </w:r>
      <w:r w:rsidR="007A6CC6">
        <w:rPr>
          <w:rFonts w:asciiTheme="majorBidi" w:hAnsiTheme="majorBidi" w:cstheme="majorBidi"/>
          <w:sz w:val="24"/>
          <w:szCs w:val="24"/>
        </w:rPr>
        <w:t>reported in virus-infected plants</w:t>
      </w:r>
      <w:r w:rsidR="002E2F4D">
        <w:rPr>
          <w:rFonts w:asciiTheme="majorBidi" w:hAnsiTheme="majorBidi" w:cstheme="majorBidi"/>
          <w:sz w:val="24"/>
          <w:szCs w:val="24"/>
        </w:rPr>
        <w:t xml:space="preserve">, moving virus RNAs through plasmodesmata in plants </w:t>
      </w:r>
      <w:r w:rsidR="002E2F4D">
        <w:rPr>
          <w:rFonts w:asciiTheme="majorBidi" w:hAnsiTheme="majorBidi" w:cstheme="majorBidi"/>
          <w:sz w:val="24"/>
          <w:szCs w:val="24"/>
        </w:rPr>
        <w:fldChar w:fldCharType="begin"/>
      </w:r>
      <w:r w:rsidR="002E2F4D">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Pr>
          <w:rFonts w:asciiTheme="majorBidi" w:hAnsiTheme="majorBidi" w:cstheme="majorBidi"/>
          <w:sz w:val="24"/>
          <w:szCs w:val="24"/>
        </w:rPr>
        <w:fldChar w:fldCharType="separate"/>
      </w:r>
      <w:r w:rsidR="002E2F4D">
        <w:rPr>
          <w:rFonts w:asciiTheme="majorBidi" w:hAnsiTheme="majorBidi" w:cstheme="majorBidi"/>
          <w:noProof/>
          <w:sz w:val="24"/>
          <w:szCs w:val="24"/>
        </w:rPr>
        <w:t>(Petty et al., 1990; Ryabov et al., 1999)</w:t>
      </w:r>
      <w:r w:rsidR="002E2F4D">
        <w:rPr>
          <w:rFonts w:asciiTheme="majorBidi" w:hAnsiTheme="majorBidi" w:cstheme="majorBidi"/>
          <w:sz w:val="24"/>
          <w:szCs w:val="24"/>
        </w:rPr>
        <w:fldChar w:fldCharType="end"/>
      </w:r>
      <w:r w:rsidR="002E2F4D">
        <w:rPr>
          <w:rFonts w:asciiTheme="majorBidi" w:hAnsiTheme="majorBidi" w:cstheme="majorBidi"/>
          <w:sz w:val="24"/>
          <w:szCs w:val="24"/>
        </w:rPr>
        <w:t>.</w:t>
      </w:r>
      <w:r w:rsidR="004F19E2">
        <w:rPr>
          <w:rFonts w:asciiTheme="majorBidi" w:hAnsiTheme="majorBidi" w:cstheme="majorBidi"/>
          <w:sz w:val="24"/>
          <w:szCs w:val="24"/>
        </w:rPr>
        <w:t xml:space="preserve"> </w:t>
      </w:r>
      <w:r w:rsidR="00DA7675">
        <w:rPr>
          <w:rFonts w:asciiTheme="majorBidi" w:hAnsiTheme="majorBidi" w:cstheme="majorBidi"/>
          <w:sz w:val="24"/>
          <w:szCs w:val="24"/>
        </w:rPr>
        <w:t>In Arabidopsis, s</w:t>
      </w:r>
      <w:r w:rsidR="007F2B3C">
        <w:rPr>
          <w:rFonts w:asciiTheme="majorBidi" w:hAnsiTheme="majorBidi" w:cstheme="majorBidi"/>
          <w:sz w:val="24"/>
          <w:szCs w:val="24"/>
        </w:rPr>
        <w:t>ome mobile</w:t>
      </w:r>
      <w:r w:rsidR="00DA7675">
        <w:rPr>
          <w:rFonts w:asciiTheme="majorBidi" w:hAnsiTheme="majorBidi" w:cstheme="majorBidi"/>
          <w:sz w:val="24"/>
          <w:szCs w:val="24"/>
        </w:rPr>
        <w:t xml:space="preserve"> mRNAs transport from leaf to the floral meristem to regulate the reproductive functions responding to environmental cues </w:t>
      </w:r>
      <w:r w:rsidR="00DA7675">
        <w:rPr>
          <w:rFonts w:asciiTheme="majorBidi" w:hAnsiTheme="majorBidi" w:cstheme="majorBidi"/>
          <w:sz w:val="24"/>
          <w:szCs w:val="24"/>
        </w:rPr>
        <w:fldChar w:fldCharType="begin"/>
      </w:r>
      <w:r w:rsidR="00DA7675">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Pr>
          <w:rFonts w:asciiTheme="majorBidi" w:hAnsiTheme="majorBidi" w:cstheme="majorBidi"/>
          <w:sz w:val="24"/>
          <w:szCs w:val="24"/>
        </w:rPr>
        <w:fldChar w:fldCharType="separate"/>
      </w:r>
      <w:r w:rsidR="00DA7675">
        <w:rPr>
          <w:rFonts w:asciiTheme="majorBidi" w:hAnsiTheme="majorBidi" w:cstheme="majorBidi"/>
          <w:noProof/>
          <w:sz w:val="24"/>
          <w:szCs w:val="24"/>
        </w:rPr>
        <w:t>(Corbesier et al., 2007; Yoo et al., 2013)</w:t>
      </w:r>
      <w:r w:rsidR="00DA7675">
        <w:rPr>
          <w:rFonts w:asciiTheme="majorBidi" w:hAnsiTheme="majorBidi" w:cstheme="majorBidi"/>
          <w:sz w:val="24"/>
          <w:szCs w:val="24"/>
        </w:rPr>
        <w:fldChar w:fldCharType="end"/>
      </w:r>
      <w:r w:rsidR="00DA7675">
        <w:rPr>
          <w:rFonts w:asciiTheme="majorBidi" w:hAnsiTheme="majorBidi" w:cstheme="majorBidi"/>
          <w:sz w:val="24"/>
          <w:szCs w:val="24"/>
        </w:rPr>
        <w:t xml:space="preserve">. </w:t>
      </w:r>
      <w:r w:rsidR="009440FE">
        <w:rPr>
          <w:rFonts w:asciiTheme="majorBidi" w:hAnsiTheme="majorBidi" w:cstheme="majorBidi"/>
          <w:sz w:val="24"/>
          <w:szCs w:val="24"/>
        </w:rPr>
        <w:t>Various physiological processes</w:t>
      </w:r>
      <w:r w:rsidR="0074202F">
        <w:rPr>
          <w:rFonts w:asciiTheme="majorBidi" w:hAnsiTheme="majorBidi" w:cstheme="majorBidi"/>
          <w:sz w:val="24"/>
          <w:szCs w:val="24"/>
        </w:rPr>
        <w:t xml:space="preserve"> reported</w:t>
      </w:r>
      <w:r w:rsidR="009440FE">
        <w:rPr>
          <w:rFonts w:asciiTheme="majorBidi" w:hAnsiTheme="majorBidi" w:cstheme="majorBidi"/>
          <w:sz w:val="24"/>
          <w:szCs w:val="24"/>
        </w:rPr>
        <w:t xml:space="preserve"> having association with</w:t>
      </w:r>
      <w:r w:rsidR="0074202F">
        <w:rPr>
          <w:rFonts w:asciiTheme="majorBidi" w:hAnsiTheme="majorBidi" w:cstheme="majorBidi"/>
          <w:sz w:val="24"/>
          <w:szCs w:val="24"/>
        </w:rPr>
        <w:t xml:space="preserve"> mobile mRNAs</w:t>
      </w:r>
      <w:r w:rsidR="009440FE">
        <w:rPr>
          <w:rFonts w:asciiTheme="majorBidi" w:hAnsiTheme="majorBidi" w:cstheme="majorBidi"/>
          <w:sz w:val="24"/>
          <w:szCs w:val="24"/>
        </w:rPr>
        <w:t>, such as</w:t>
      </w:r>
      <w:r w:rsidR="0046134C">
        <w:rPr>
          <w:rFonts w:asciiTheme="majorBidi" w:hAnsiTheme="majorBidi" w:cstheme="majorBidi"/>
          <w:sz w:val="24"/>
          <w:szCs w:val="24"/>
        </w:rPr>
        <w:t xml:space="preserve"> the</w:t>
      </w:r>
      <w:r w:rsidR="0074202F">
        <w:rPr>
          <w:rFonts w:asciiTheme="majorBidi" w:hAnsiTheme="majorBidi" w:cstheme="majorBidi"/>
          <w:sz w:val="24"/>
          <w:szCs w:val="24"/>
        </w:rPr>
        <w:t xml:space="preserve"> regulation of potato </w:t>
      </w:r>
      <w:proofErr w:type="spellStart"/>
      <w:r w:rsidR="0074202F">
        <w:rPr>
          <w:rFonts w:asciiTheme="majorBidi" w:hAnsiTheme="majorBidi" w:cstheme="majorBidi"/>
          <w:sz w:val="24"/>
          <w:szCs w:val="24"/>
        </w:rPr>
        <w:t>tuberization</w:t>
      </w:r>
      <w:proofErr w:type="spellEnd"/>
      <w:r w:rsidR="0074202F">
        <w:rPr>
          <w:rFonts w:asciiTheme="majorBidi" w:hAnsiTheme="majorBidi" w:cstheme="majorBidi"/>
          <w:sz w:val="24"/>
          <w:szCs w:val="24"/>
        </w:rPr>
        <w:t xml:space="preserve">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(Ghate et al., 2017; Hannapel &amp; Banerjee, 2017)</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lateral root formation in parasitic plants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(Yoshida et al., 2016)</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leaf morphology changes in tomato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(Haywood et al., 2005)</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and or floral initiation in Arabidopsis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(Huang et al., 2012)</w:t>
      </w:r>
      <w:r w:rsidR="0074202F">
        <w:rPr>
          <w:rFonts w:asciiTheme="majorBidi" w:hAnsiTheme="majorBidi" w:cstheme="majorBidi"/>
          <w:sz w:val="24"/>
          <w:szCs w:val="24"/>
        </w:rPr>
        <w:fldChar w:fldCharType="end"/>
      </w:r>
      <w:r w:rsidR="0074202F">
        <w:rPr>
          <w:rFonts w:asciiTheme="majorBidi" w:hAnsiTheme="majorBidi" w:cstheme="majorBidi"/>
          <w:sz w:val="24"/>
          <w:szCs w:val="24"/>
        </w:rPr>
        <w:t>.</w:t>
      </w:r>
      <w:r w:rsidR="00DA7675">
        <w:rPr>
          <w:rFonts w:asciiTheme="majorBidi" w:hAnsiTheme="majorBidi" w:cstheme="majorBidi"/>
          <w:sz w:val="24"/>
          <w:szCs w:val="24"/>
        </w:rPr>
        <w:t xml:space="preserve"> </w:t>
      </w:r>
    </w:p>
    <w:p w14:paraId="3BB54A6C" w14:textId="252AC492" w:rsidR="00BC7532" w:rsidRDefault="00210584" w:rsidP="004D7C43">
      <w:pPr>
        <w:jc w:val="both"/>
        <w:rPr>
          <w:rFonts w:asciiTheme="majorBidi" w:hAnsiTheme="majorBidi" w:cstheme="majorBidi"/>
          <w:sz w:val="24"/>
          <w:szCs w:val="24"/>
        </w:rPr>
      </w:pPr>
      <w:r>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(Li et al., 2022)</w:t>
      </w:r>
      <w:r>
        <w:rPr>
          <w:rFonts w:asciiTheme="majorBidi" w:hAnsiTheme="majorBidi" w:cstheme="majorBidi"/>
          <w:sz w:val="24"/>
          <w:szCs w:val="24"/>
        </w:rPr>
        <w:fldChar w:fldCharType="end"/>
      </w:r>
      <w:r>
        <w:rPr>
          <w:rFonts w:asciiTheme="majorBidi" w:hAnsiTheme="majorBidi" w:cstheme="majorBidi"/>
          <w:sz w:val="24"/>
          <w:szCs w:val="24"/>
        </w:rPr>
        <w:t>.</w:t>
      </w:r>
      <w:r w:rsidR="00D5668A">
        <w:rPr>
          <w:rFonts w:asciiTheme="majorBidi" w:hAnsiTheme="majorBidi" w:cstheme="majorBidi"/>
          <w:sz w:val="24"/>
          <w:szCs w:val="24"/>
        </w:rPr>
        <w:t xml:space="preserve"> </w:t>
      </w:r>
      <w:r w:rsidR="007B0375">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Pr>
          <w:rFonts w:asciiTheme="majorBidi" w:hAnsiTheme="majorBidi" w:cstheme="majorBidi"/>
          <w:sz w:val="24"/>
          <w:szCs w:val="24"/>
        </w:rPr>
        <w:fldChar w:fldCharType="begin"/>
      </w:r>
      <w:r w:rsidR="007B0375">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Pr>
          <w:rFonts w:asciiTheme="majorBidi" w:hAnsiTheme="majorBidi" w:cstheme="majorBidi"/>
          <w:sz w:val="24"/>
          <w:szCs w:val="24"/>
        </w:rPr>
        <w:fldChar w:fldCharType="separate"/>
      </w:r>
      <w:r w:rsidR="007B0375">
        <w:rPr>
          <w:rFonts w:asciiTheme="majorBidi" w:hAnsiTheme="majorBidi" w:cstheme="majorBidi"/>
          <w:noProof/>
          <w:sz w:val="24"/>
          <w:szCs w:val="24"/>
        </w:rPr>
        <w:t>(Xia &amp; Zhang, 2020)</w:t>
      </w:r>
      <w:r w:rsidR="007B0375">
        <w:rPr>
          <w:rFonts w:asciiTheme="majorBidi" w:hAnsiTheme="majorBidi" w:cstheme="majorBidi"/>
          <w:sz w:val="24"/>
          <w:szCs w:val="24"/>
        </w:rPr>
        <w:fldChar w:fldCharType="end"/>
      </w:r>
      <w:r w:rsidR="007B0375">
        <w:rPr>
          <w:rFonts w:asciiTheme="majorBidi" w:hAnsiTheme="majorBidi" w:cstheme="majorBidi"/>
          <w:sz w:val="24"/>
          <w:szCs w:val="24"/>
        </w:rPr>
        <w:t>.</w:t>
      </w:r>
      <w:r w:rsidR="00402AB7">
        <w:rPr>
          <w:rFonts w:asciiTheme="majorBidi" w:hAnsiTheme="majorBidi" w:cstheme="majorBidi"/>
          <w:sz w:val="24"/>
          <w:szCs w:val="24"/>
        </w:rPr>
        <w:t xml:space="preserve"> According to the </w:t>
      </w:r>
      <w:r w:rsidR="0076383E">
        <w:rPr>
          <w:rFonts w:asciiTheme="majorBidi" w:hAnsiTheme="majorBidi" w:cstheme="majorBidi"/>
          <w:sz w:val="24"/>
          <w:szCs w:val="24"/>
        </w:rPr>
        <w:t>distance between genome sequences</w:t>
      </w:r>
      <w:r w:rsidR="004579DE">
        <w:rPr>
          <w:rFonts w:asciiTheme="majorBidi" w:hAnsiTheme="majorBidi" w:cstheme="majorBidi"/>
          <w:sz w:val="24"/>
          <w:szCs w:val="24"/>
        </w:rPr>
        <w:t>,</w:t>
      </w:r>
      <w:r w:rsidR="0076383E">
        <w:rPr>
          <w:rFonts w:asciiTheme="majorBidi" w:hAnsiTheme="majorBidi" w:cstheme="majorBidi"/>
          <w:sz w:val="24"/>
          <w:szCs w:val="24"/>
        </w:rPr>
        <w:t xml:space="preserve"> different strategies might </w:t>
      </w:r>
      <w:r w:rsidR="004579DE">
        <w:rPr>
          <w:rFonts w:asciiTheme="majorBidi" w:hAnsiTheme="majorBidi" w:cstheme="majorBidi"/>
          <w:sz w:val="24"/>
          <w:szCs w:val="24"/>
        </w:rPr>
        <w:t xml:space="preserve">be </w:t>
      </w:r>
      <w:r w:rsidR="0076383E">
        <w:rPr>
          <w:rFonts w:asciiTheme="majorBidi" w:hAnsiTheme="majorBidi" w:cstheme="majorBidi"/>
          <w:sz w:val="24"/>
          <w:szCs w:val="24"/>
        </w:rPr>
        <w:t xml:space="preserve">utilized for RNA-seq analysis to detect mobile mRNAs; </w:t>
      </w:r>
      <w:r w:rsidR="008F0080">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Pr>
          <w:rFonts w:asciiTheme="majorBidi" w:hAnsiTheme="majorBidi" w:cstheme="majorBidi"/>
          <w:sz w:val="24"/>
          <w:szCs w:val="24"/>
        </w:rPr>
        <w:t>their</w:t>
      </w:r>
      <w:r w:rsidR="008F0080">
        <w:rPr>
          <w:rFonts w:asciiTheme="majorBidi" w:hAnsiTheme="majorBidi" w:cstheme="majorBidi"/>
          <w:sz w:val="24"/>
          <w:szCs w:val="24"/>
        </w:rPr>
        <w:t xml:space="preserve"> corresponding reads from one genotype were detected in the other genotype in the heterografts</w:t>
      </w:r>
      <w:r w:rsidR="004579DE">
        <w:rPr>
          <w:rFonts w:asciiTheme="majorBidi" w:hAnsiTheme="majorBidi" w:cstheme="majorBidi"/>
          <w:sz w:val="24"/>
          <w:szCs w:val="24"/>
        </w:rPr>
        <w:t xml:space="preserve"> </w:t>
      </w:r>
      <w:r w:rsidR="004579DE">
        <w:rPr>
          <w:rFonts w:asciiTheme="majorBidi" w:hAnsiTheme="majorBidi" w:cstheme="majorBidi"/>
          <w:sz w:val="24"/>
          <w:szCs w:val="24"/>
        </w:rPr>
        <w:fldChar w:fldCharType="begin"/>
      </w:r>
      <w:r w:rsidR="004579DE">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Pr>
          <w:rFonts w:asciiTheme="majorBidi" w:hAnsiTheme="majorBidi" w:cstheme="majorBidi"/>
          <w:sz w:val="24"/>
          <w:szCs w:val="24"/>
        </w:rPr>
        <w:fldChar w:fldCharType="separate"/>
      </w:r>
      <w:r w:rsidR="004579DE">
        <w:rPr>
          <w:rFonts w:asciiTheme="majorBidi" w:hAnsiTheme="majorBidi" w:cstheme="majorBidi"/>
          <w:noProof/>
          <w:sz w:val="24"/>
          <w:szCs w:val="24"/>
        </w:rPr>
        <w:t>(Wang et al., 2020; Yang et al., 2015)</w:t>
      </w:r>
      <w:r w:rsidR="004579DE">
        <w:rPr>
          <w:rFonts w:asciiTheme="majorBidi" w:hAnsiTheme="majorBidi" w:cstheme="majorBidi"/>
          <w:sz w:val="24"/>
          <w:szCs w:val="24"/>
        </w:rPr>
        <w:fldChar w:fldCharType="end"/>
      </w:r>
      <w:r w:rsidR="006E4FD6">
        <w:rPr>
          <w:rFonts w:asciiTheme="majorBidi" w:hAnsiTheme="majorBidi" w:cstheme="majorBidi"/>
          <w:sz w:val="24"/>
          <w:szCs w:val="24"/>
        </w:rPr>
        <w:t>. However, for heterografts compos</w:t>
      </w:r>
      <w:r w:rsidR="00F87CE8">
        <w:rPr>
          <w:rFonts w:asciiTheme="majorBidi" w:hAnsiTheme="majorBidi" w:cstheme="majorBidi"/>
          <w:sz w:val="24"/>
          <w:szCs w:val="24"/>
        </w:rPr>
        <w:t>ed</w:t>
      </w:r>
      <w:r w:rsidR="006E4FD6">
        <w:rPr>
          <w:rFonts w:asciiTheme="majorBidi" w:hAnsiTheme="majorBidi" w:cstheme="majorBidi"/>
          <w:sz w:val="24"/>
          <w:szCs w:val="24"/>
        </w:rPr>
        <w:t xml:space="preserve"> from two distant genome sequences, RNA</w:t>
      </w:r>
      <w:r w:rsidR="00F87CE8">
        <w:rPr>
          <w:rFonts w:asciiTheme="majorBidi" w:hAnsiTheme="majorBidi" w:cstheme="majorBidi"/>
          <w:sz w:val="24"/>
          <w:szCs w:val="24"/>
        </w:rPr>
        <w:t>-</w:t>
      </w:r>
      <w:r w:rsidR="006E4FD6">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Pr>
          <w:rFonts w:asciiTheme="majorBidi" w:hAnsiTheme="majorBidi" w:cstheme="majorBidi"/>
          <w:sz w:val="24"/>
          <w:szCs w:val="24"/>
        </w:rPr>
        <w:t>species’</w:t>
      </w:r>
      <w:r w:rsidR="006E4FD6">
        <w:rPr>
          <w:rFonts w:asciiTheme="majorBidi" w:hAnsiTheme="majorBidi" w:cstheme="majorBidi"/>
          <w:sz w:val="24"/>
          <w:szCs w:val="24"/>
        </w:rPr>
        <w:t xml:space="preserve"> reference genome will be identified as transmitted mRNAs</w:t>
      </w:r>
      <w:r w:rsidR="00F87CE8">
        <w:rPr>
          <w:rFonts w:asciiTheme="majorBidi" w:hAnsiTheme="majorBidi" w:cstheme="majorBidi"/>
          <w:sz w:val="24"/>
          <w:szCs w:val="24"/>
        </w:rPr>
        <w:t xml:space="preserve"> </w:t>
      </w:r>
      <w:r w:rsidR="00F87CE8">
        <w:rPr>
          <w:rFonts w:asciiTheme="majorBidi" w:hAnsiTheme="majorBidi" w:cstheme="majorBidi"/>
          <w:sz w:val="24"/>
          <w:szCs w:val="24"/>
        </w:rPr>
        <w:fldChar w:fldCharType="begin"/>
      </w:r>
      <w:r w:rsidR="00F87CE8">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Pr>
          <w:rFonts w:asciiTheme="majorBidi" w:hAnsiTheme="majorBidi" w:cstheme="majorBidi"/>
          <w:sz w:val="24"/>
          <w:szCs w:val="24"/>
        </w:rPr>
        <w:fldChar w:fldCharType="separate"/>
      </w:r>
      <w:r w:rsidR="00F87CE8">
        <w:rPr>
          <w:rFonts w:asciiTheme="majorBidi" w:hAnsiTheme="majorBidi" w:cstheme="majorBidi"/>
          <w:noProof/>
          <w:sz w:val="24"/>
          <w:szCs w:val="24"/>
        </w:rPr>
        <w:t>(Notaguchi et al., 2015; Xia et al., 2018)</w:t>
      </w:r>
      <w:r w:rsidR="00F87CE8">
        <w:rPr>
          <w:rFonts w:asciiTheme="majorBidi" w:hAnsiTheme="majorBidi" w:cstheme="majorBidi"/>
          <w:sz w:val="24"/>
          <w:szCs w:val="24"/>
        </w:rPr>
        <w:fldChar w:fldCharType="end"/>
      </w:r>
      <w:r w:rsidR="00F87CE8">
        <w:rPr>
          <w:rFonts w:asciiTheme="majorBidi" w:hAnsiTheme="majorBidi" w:cstheme="majorBidi"/>
          <w:sz w:val="24"/>
          <w:szCs w:val="24"/>
        </w:rPr>
        <w:t>.</w:t>
      </w:r>
      <w:r w:rsidR="006E4FD6">
        <w:rPr>
          <w:rFonts w:asciiTheme="majorBidi" w:hAnsiTheme="majorBidi" w:cstheme="majorBidi"/>
          <w:sz w:val="24"/>
          <w:szCs w:val="24"/>
        </w:rPr>
        <w:t xml:space="preserve"> </w:t>
      </w:r>
      <w:r w:rsidR="00F87CE8">
        <w:rPr>
          <w:rFonts w:asciiTheme="majorBidi" w:hAnsiTheme="majorBidi" w:cstheme="majorBidi"/>
          <w:sz w:val="24"/>
          <w:szCs w:val="24"/>
        </w:rPr>
        <w:t>I</w:t>
      </w:r>
      <w:r w:rsidR="006E4FD6">
        <w:rPr>
          <w:rFonts w:asciiTheme="majorBidi" w:hAnsiTheme="majorBidi" w:cstheme="majorBidi"/>
          <w:sz w:val="24"/>
          <w:szCs w:val="24"/>
        </w:rPr>
        <w:t>ndeed in both strategies some criteria must be considered to detect</w:t>
      </w:r>
      <w:r w:rsidR="00F87CE8">
        <w:rPr>
          <w:rFonts w:asciiTheme="majorBidi" w:hAnsiTheme="majorBidi" w:cstheme="majorBidi"/>
          <w:sz w:val="24"/>
          <w:szCs w:val="24"/>
        </w:rPr>
        <w:t xml:space="preserve"> more reliable mobile mRNAs.</w:t>
      </w:r>
      <w:r w:rsidR="006E4FD6">
        <w:rPr>
          <w:rFonts w:asciiTheme="majorBidi" w:hAnsiTheme="majorBidi" w:cstheme="majorBidi"/>
          <w:sz w:val="24"/>
          <w:szCs w:val="24"/>
        </w:rPr>
        <w:t xml:space="preserve"> </w:t>
      </w:r>
    </w:p>
    <w:p w14:paraId="74C3D03B" w14:textId="2FE99E96" w:rsidR="00653C79" w:rsidRDefault="00653C79" w:rsidP="004D7C43">
      <w:pPr>
        <w:jc w:val="both"/>
        <w:rPr>
          <w:rFonts w:asciiTheme="majorBidi" w:hAnsiTheme="majorBidi" w:cstheme="majorBidi"/>
          <w:sz w:val="24"/>
          <w:szCs w:val="24"/>
        </w:rPr>
      </w:pPr>
      <w:proofErr w:type="spellStart"/>
      <w:r>
        <w:rPr>
          <w:rFonts w:asciiTheme="majorBidi" w:hAnsiTheme="majorBidi" w:cstheme="majorBidi"/>
          <w:sz w:val="24"/>
          <w:szCs w:val="24"/>
        </w:rPr>
        <w:t>Flaveria</w:t>
      </w:r>
      <w:proofErr w:type="spellEnd"/>
      <w:r>
        <w:rPr>
          <w:rFonts w:asciiTheme="majorBidi" w:hAnsiTheme="majorBidi" w:cstheme="majorBidi"/>
          <w:sz w:val="24"/>
          <w:szCs w:val="24"/>
        </w:rPr>
        <w:t xml:space="preserve"> </w:t>
      </w:r>
      <w:bookmarkStart w:id="0" w:name="_GoBack"/>
      <w:bookmarkEnd w:id="0"/>
    </w:p>
    <w:p w14:paraId="6CAA119D" w14:textId="77777777" w:rsidR="00B512DD" w:rsidRDefault="00B512DD" w:rsidP="004D7C43">
      <w:pPr>
        <w:jc w:val="both"/>
        <w:rPr>
          <w:rFonts w:asciiTheme="majorBidi" w:hAnsiTheme="majorBidi" w:cstheme="majorBidi"/>
          <w:sz w:val="24"/>
          <w:szCs w:val="24"/>
        </w:rPr>
      </w:pPr>
    </w:p>
    <w:p w14:paraId="1E6C0EED" w14:textId="328566AD" w:rsidR="00D5668A" w:rsidRDefault="00D5668A" w:rsidP="00BC7532">
      <w:pPr>
        <w:jc w:val="both"/>
        <w:rPr>
          <w:rFonts w:asciiTheme="majorBidi" w:hAnsiTheme="majorBidi" w:cstheme="majorBidi"/>
          <w:sz w:val="24"/>
          <w:szCs w:val="24"/>
        </w:rPr>
      </w:pPr>
    </w:p>
    <w:p w14:paraId="78958DA9" w14:textId="77777777" w:rsidR="00D5668A" w:rsidRPr="00D5668A" w:rsidRDefault="00D5668A" w:rsidP="00D5668A">
      <w:pPr>
        <w:rPr>
          <w:rFonts w:asciiTheme="majorBidi" w:hAnsiTheme="majorBidi" w:cstheme="majorBidi"/>
          <w:b/>
          <w:bCs/>
          <w:sz w:val="24"/>
          <w:szCs w:val="24"/>
        </w:rPr>
      </w:pPr>
      <w:r w:rsidRPr="00D5668A">
        <w:rPr>
          <w:rFonts w:asciiTheme="majorBidi" w:hAnsiTheme="majorBidi" w:cstheme="majorBidi"/>
          <w:b/>
          <w:bCs/>
          <w:sz w:val="24"/>
          <w:szCs w:val="24"/>
        </w:rPr>
        <w:t>Material and method</w:t>
      </w:r>
    </w:p>
    <w:p w14:paraId="1C688B67"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lastRenderedPageBreak/>
        <w:t>De novo assembly</w:t>
      </w:r>
    </w:p>
    <w:p w14:paraId="71B89D65"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Pr>
          <w:rFonts w:asciiTheme="majorBidi" w:hAnsiTheme="majorBidi" w:cstheme="majorBidi"/>
          <w:sz w:val="24"/>
          <w:szCs w:val="24"/>
        </w:rPr>
        <w:t>FastQC</w:t>
      </w:r>
      <w:proofErr w:type="spellEnd"/>
      <w:r>
        <w:rPr>
          <w:rFonts w:asciiTheme="majorBidi" w:hAnsiTheme="majorBidi" w:cstheme="majorBidi"/>
          <w:sz w:val="24"/>
          <w:szCs w:val="24"/>
        </w:rPr>
        <w:t xml:space="preserve"> package. Afterwards, trimming of the raw sequences were conducted using </w:t>
      </w:r>
      <w:proofErr w:type="spellStart"/>
      <w:r>
        <w:rPr>
          <w:rFonts w:asciiTheme="majorBidi" w:hAnsiTheme="majorBidi" w:cstheme="majorBidi"/>
          <w:sz w:val="24"/>
          <w:szCs w:val="24"/>
        </w:rPr>
        <w:t>Trimmomatic</w:t>
      </w:r>
      <w:proofErr w:type="spellEnd"/>
      <w:r>
        <w:rPr>
          <w:rFonts w:asciiTheme="majorBidi" w:hAnsiTheme="majorBidi" w:cstheme="majorBidi"/>
          <w:sz w:val="24"/>
          <w:szCs w:val="24"/>
        </w:rPr>
        <w:t xml:space="preserve"> with parameters: SLIDINGWINDOW:4:15, CROP:50, and HEADCROP:10.</w:t>
      </w:r>
    </w:p>
    <w:p w14:paraId="527B279F" w14:textId="77777777" w:rsidR="00D5668A" w:rsidRPr="00C72629" w:rsidRDefault="00D5668A" w:rsidP="00D5668A">
      <w:pPr>
        <w:rPr>
          <w:rFonts w:asciiTheme="majorBidi" w:hAnsiTheme="majorBidi" w:cstheme="majorBidi"/>
          <w:sz w:val="24"/>
          <w:szCs w:val="24"/>
        </w:rPr>
      </w:pPr>
      <w:r>
        <w:rPr>
          <w:rFonts w:asciiTheme="majorBidi" w:hAnsiTheme="majorBidi" w:cstheme="majorBidi"/>
          <w:sz w:val="24"/>
          <w:szCs w:val="24"/>
        </w:rPr>
        <w:t xml:space="preserve">To have an assembly for SNP calling and </w:t>
      </w:r>
      <w:proofErr w:type="spellStart"/>
      <w:r>
        <w:rPr>
          <w:rFonts w:asciiTheme="majorBidi" w:hAnsiTheme="majorBidi" w:cstheme="majorBidi"/>
          <w:sz w:val="24"/>
          <w:szCs w:val="24"/>
        </w:rPr>
        <w:t>RNAsrq</w:t>
      </w:r>
      <w:proofErr w:type="spellEnd"/>
      <w:r>
        <w:rPr>
          <w:rFonts w:asciiTheme="majorBidi" w:hAnsiTheme="majorBidi" w:cstheme="majorBidi"/>
          <w:sz w:val="24"/>
          <w:szCs w:val="24"/>
        </w:rPr>
        <w:t xml:space="preserve"> analysis, we created two assemblies, one using only homograft samples from both root and shoot, and another from all samples of root and shoot. </w:t>
      </w:r>
    </w:p>
    <w:p w14:paraId="42C0C6C0" w14:textId="77777777" w:rsidR="00D5668A" w:rsidRDefault="00D5668A" w:rsidP="00BC7532">
      <w:pPr>
        <w:jc w:val="both"/>
        <w:rPr>
          <w:rFonts w:asciiTheme="majorBidi" w:hAnsiTheme="majorBidi" w:cstheme="majorBidi"/>
          <w:sz w:val="24"/>
          <w:szCs w:val="24"/>
        </w:rPr>
      </w:pPr>
    </w:p>
    <w:p w14:paraId="410DF5BF" w14:textId="1B5E77B8" w:rsidR="00530443" w:rsidRDefault="00530443" w:rsidP="00BE1E1E">
      <w:pPr>
        <w:jc w:val="both"/>
        <w:rPr>
          <w:rFonts w:asciiTheme="majorBidi" w:hAnsiTheme="majorBidi" w:cstheme="majorBidi"/>
          <w:sz w:val="24"/>
          <w:szCs w:val="24"/>
        </w:rPr>
      </w:pPr>
    </w:p>
    <w:p w14:paraId="4B32946D" w14:textId="77777777" w:rsidR="00530443" w:rsidRDefault="00530443" w:rsidP="005766E6">
      <w:pPr>
        <w:jc w:val="both"/>
        <w:rPr>
          <w:rFonts w:asciiTheme="majorBidi" w:hAnsiTheme="majorBidi" w:cstheme="majorBidi"/>
          <w:sz w:val="24"/>
          <w:szCs w:val="24"/>
        </w:rPr>
      </w:pPr>
    </w:p>
    <w:p w14:paraId="1286FA7A" w14:textId="77777777" w:rsidR="00F87CE8" w:rsidRPr="00F87CE8" w:rsidRDefault="00530443" w:rsidP="00F87CE8">
      <w:pPr>
        <w:pStyle w:val="EndNoteBibliography"/>
        <w:spacing w:after="0"/>
        <w:ind w:left="720" w:hanging="720"/>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F87CE8" w:rsidRPr="00F87CE8">
        <w:t xml:space="preserve">Corbesier, L., Vincent, C., Jang, S., Fornara, F., Fan, Q., Searle, I., Giakountis, A., Farrona, S., Gissot, L., &amp; Turnbull, C. (2007). FT protein movement contributes to long-distance signaling in floral induction of Arabidopsis. </w:t>
      </w:r>
      <w:r w:rsidR="00F87CE8" w:rsidRPr="00F87CE8">
        <w:rPr>
          <w:i/>
        </w:rPr>
        <w:t>science</w:t>
      </w:r>
      <w:r w:rsidR="00F87CE8" w:rsidRPr="00F87CE8">
        <w:t>,</w:t>
      </w:r>
      <w:r w:rsidR="00F87CE8" w:rsidRPr="00F87CE8">
        <w:rPr>
          <w:i/>
        </w:rPr>
        <w:t xml:space="preserve"> 316</w:t>
      </w:r>
      <w:r w:rsidR="00F87CE8" w:rsidRPr="00F87CE8">
        <w:t xml:space="preserve">(5827), 1030-1033. </w:t>
      </w:r>
    </w:p>
    <w:p w14:paraId="47E47527" w14:textId="77777777" w:rsidR="00F87CE8" w:rsidRPr="00F87CE8" w:rsidRDefault="00F87CE8" w:rsidP="00F87CE8">
      <w:pPr>
        <w:pStyle w:val="EndNoteBibliography"/>
        <w:spacing w:after="0"/>
        <w:ind w:left="720" w:hanging="720"/>
      </w:pPr>
      <w:r w:rsidRPr="00F87CE8">
        <w:t xml:space="preserve">Ghate, T. H., Sharma, P., Kondhare, K. R., Hannapel, D. J., &amp; Banerjee, A. K. (2017). The mobile RNAs, StBEL11 and StBEL29, suppress growth of tubers in potato. </w:t>
      </w:r>
      <w:r w:rsidRPr="00F87CE8">
        <w:rPr>
          <w:i/>
        </w:rPr>
        <w:t>Plant molecular biology</w:t>
      </w:r>
      <w:r w:rsidRPr="00F87CE8">
        <w:t>,</w:t>
      </w:r>
      <w:r w:rsidRPr="00F87CE8">
        <w:rPr>
          <w:i/>
        </w:rPr>
        <w:t xml:space="preserve"> 93</w:t>
      </w:r>
      <w:r w:rsidRPr="00F87CE8">
        <w:t xml:space="preserve">, 563-578. </w:t>
      </w:r>
    </w:p>
    <w:p w14:paraId="750E0903" w14:textId="77777777" w:rsidR="00F87CE8" w:rsidRPr="00F87CE8" w:rsidRDefault="00F87CE8" w:rsidP="00F87CE8">
      <w:pPr>
        <w:pStyle w:val="EndNoteBibliography"/>
        <w:spacing w:after="0"/>
        <w:ind w:left="720" w:hanging="720"/>
      </w:pPr>
      <w:r w:rsidRPr="00F87CE8">
        <w:t xml:space="preserve">Hannapel, D. J., &amp; Banerjee, A. K. (2017). Multiple mobile mRNA signals regulate tuber development in potato. </w:t>
      </w:r>
      <w:r w:rsidRPr="00F87CE8">
        <w:rPr>
          <w:i/>
        </w:rPr>
        <w:t>Plants</w:t>
      </w:r>
      <w:r w:rsidRPr="00F87CE8">
        <w:t>,</w:t>
      </w:r>
      <w:r w:rsidRPr="00F87CE8">
        <w:rPr>
          <w:i/>
        </w:rPr>
        <w:t xml:space="preserve"> 6</w:t>
      </w:r>
      <w:r w:rsidRPr="00F87CE8">
        <w:t xml:space="preserve">(1), 8. </w:t>
      </w:r>
    </w:p>
    <w:p w14:paraId="75A1BD79" w14:textId="77777777" w:rsidR="00F87CE8" w:rsidRPr="00F87CE8" w:rsidRDefault="00F87CE8" w:rsidP="00F87CE8">
      <w:pPr>
        <w:pStyle w:val="EndNoteBibliography"/>
        <w:spacing w:after="0"/>
        <w:ind w:left="720" w:hanging="720"/>
      </w:pPr>
      <w:r w:rsidRPr="00F87CE8">
        <w:t xml:space="preserve">Haywood, V., Yu, T. S., Huang, N. C., &amp; Lucas, W. J. (2005). Phloem long‐distance trafficking of GIBBERELLIC ACID‐INSENSITIVE RNA regulates leaf development. </w:t>
      </w:r>
      <w:r w:rsidRPr="00F87CE8">
        <w:rPr>
          <w:i/>
        </w:rPr>
        <w:t>The Plant Journal</w:t>
      </w:r>
      <w:r w:rsidRPr="00F87CE8">
        <w:t>,</w:t>
      </w:r>
      <w:r w:rsidRPr="00F87CE8">
        <w:rPr>
          <w:i/>
        </w:rPr>
        <w:t xml:space="preserve"> 42</w:t>
      </w:r>
      <w:r w:rsidRPr="00F87CE8">
        <w:t xml:space="preserve">(1), 49-68. </w:t>
      </w:r>
    </w:p>
    <w:p w14:paraId="5823619C" w14:textId="77777777" w:rsidR="00F87CE8" w:rsidRPr="00F87CE8" w:rsidRDefault="00F87CE8" w:rsidP="00F87CE8">
      <w:pPr>
        <w:pStyle w:val="EndNoteBibliography"/>
        <w:spacing w:after="0"/>
        <w:ind w:left="720" w:hanging="720"/>
      </w:pPr>
      <w:r w:rsidRPr="00F87CE8">
        <w:t xml:space="preserve">Huang, N. C., Jane, W. N., Chen, J., &amp; Yu, T. S. (2012). Arabidopsis thaliana CENTRORADIALIS homologue (ATC) acts systemically to inhibit floral initiation in Arabidopsis. </w:t>
      </w:r>
      <w:r w:rsidRPr="00F87CE8">
        <w:rPr>
          <w:i/>
        </w:rPr>
        <w:t>The Plant Journal</w:t>
      </w:r>
      <w:r w:rsidRPr="00F87CE8">
        <w:t>,</w:t>
      </w:r>
      <w:r w:rsidRPr="00F87CE8">
        <w:rPr>
          <w:i/>
        </w:rPr>
        <w:t xml:space="preserve"> 72</w:t>
      </w:r>
      <w:r w:rsidRPr="00F87CE8">
        <w:t xml:space="preserve">(2), 175-184. </w:t>
      </w:r>
    </w:p>
    <w:p w14:paraId="5653F0EA" w14:textId="77777777" w:rsidR="00F87CE8" w:rsidRPr="00F87CE8" w:rsidRDefault="00F87CE8" w:rsidP="00F87CE8">
      <w:pPr>
        <w:pStyle w:val="EndNoteBibliography"/>
        <w:spacing w:after="0"/>
        <w:ind w:left="720" w:hanging="720"/>
      </w:pPr>
      <w:r w:rsidRPr="00F87CE8">
        <w:t xml:space="preserve">Kondhare, K. R., Patil, N. S., &amp; Banerjee, A. K. (2021). A historical overview of long-distance signalling in plants. </w:t>
      </w:r>
      <w:r w:rsidRPr="00F87CE8">
        <w:rPr>
          <w:i/>
        </w:rPr>
        <w:t>Journal of experimental Botany</w:t>
      </w:r>
      <w:r w:rsidRPr="00F87CE8">
        <w:t>,</w:t>
      </w:r>
      <w:r w:rsidRPr="00F87CE8">
        <w:rPr>
          <w:i/>
        </w:rPr>
        <w:t xml:space="preserve"> 72</w:t>
      </w:r>
      <w:r w:rsidRPr="00F87CE8">
        <w:t xml:space="preserve">(12), 4218-4236. </w:t>
      </w:r>
    </w:p>
    <w:p w14:paraId="45FB9538" w14:textId="77777777" w:rsidR="00F87CE8" w:rsidRPr="00F87CE8" w:rsidRDefault="00F87CE8" w:rsidP="00F87CE8">
      <w:pPr>
        <w:pStyle w:val="EndNoteBibliography"/>
        <w:spacing w:after="0"/>
        <w:ind w:left="720" w:hanging="720"/>
      </w:pPr>
      <w:r w:rsidRPr="00F87CE8">
        <w:t xml:space="preserve">Li, W., Chen, S., Liu, Y., Wang, L., Jiang, J., Zhao, S., Fang, W., Chen, F., &amp; Guan, Z. (2022). Long-distance transport RNAs between rootstocks and scions and graft hybridization. </w:t>
      </w:r>
      <w:r w:rsidRPr="00F87CE8">
        <w:rPr>
          <w:i/>
        </w:rPr>
        <w:t>Planta</w:t>
      </w:r>
      <w:r w:rsidRPr="00F87CE8">
        <w:t>,</w:t>
      </w:r>
      <w:r w:rsidRPr="00F87CE8">
        <w:rPr>
          <w:i/>
        </w:rPr>
        <w:t xml:space="preserve"> 255</w:t>
      </w:r>
      <w:r w:rsidRPr="00F87CE8">
        <w:t xml:space="preserve">(5), 96. </w:t>
      </w:r>
    </w:p>
    <w:p w14:paraId="0B06C073" w14:textId="77777777" w:rsidR="00F87CE8" w:rsidRPr="00F87CE8" w:rsidRDefault="00F87CE8" w:rsidP="00F87CE8">
      <w:pPr>
        <w:pStyle w:val="EndNoteBibliography"/>
        <w:spacing w:after="0"/>
        <w:ind w:left="720" w:hanging="720"/>
      </w:pPr>
      <w:r w:rsidRPr="00F87CE8">
        <w:t xml:space="preserve">Notaguchi, M., Higashiyama, T., &amp; Suzuki, T. (2015). Identification of mRNAs that move over long distances using an RNA-Seq analysis of Arabidopsis/Nicotiana benthamiana heterografts. </w:t>
      </w:r>
      <w:r w:rsidRPr="00F87CE8">
        <w:rPr>
          <w:i/>
        </w:rPr>
        <w:t>Plant and cell physiology</w:t>
      </w:r>
      <w:r w:rsidRPr="00F87CE8">
        <w:t>,</w:t>
      </w:r>
      <w:r w:rsidRPr="00F87CE8">
        <w:rPr>
          <w:i/>
        </w:rPr>
        <w:t xml:space="preserve"> 56</w:t>
      </w:r>
      <w:r w:rsidRPr="00F87CE8">
        <w:t xml:space="preserve">(2), 311-321. </w:t>
      </w:r>
    </w:p>
    <w:p w14:paraId="23E6A63A" w14:textId="77777777" w:rsidR="00F87CE8" w:rsidRPr="00F87CE8" w:rsidRDefault="00F87CE8" w:rsidP="00F87CE8">
      <w:pPr>
        <w:pStyle w:val="EndNoteBibliography"/>
        <w:spacing w:after="0"/>
        <w:ind w:left="720" w:hanging="720"/>
      </w:pPr>
      <w:r w:rsidRPr="00F87CE8">
        <w:t xml:space="preserve">Petty, I., French, R., Jones, R., &amp; Jackson, A. (1990). Identification of barley stripe mosaic virus genes involved in viral RNA replication and systemic movement. </w:t>
      </w:r>
      <w:r w:rsidRPr="00F87CE8">
        <w:rPr>
          <w:i/>
        </w:rPr>
        <w:t>The EMBO journal</w:t>
      </w:r>
      <w:r w:rsidRPr="00F87CE8">
        <w:t>,</w:t>
      </w:r>
      <w:r w:rsidRPr="00F87CE8">
        <w:rPr>
          <w:i/>
        </w:rPr>
        <w:t xml:space="preserve"> 9</w:t>
      </w:r>
      <w:r w:rsidRPr="00F87CE8">
        <w:t xml:space="preserve">(11), 3453-3457. </w:t>
      </w:r>
    </w:p>
    <w:p w14:paraId="729348F3" w14:textId="77777777" w:rsidR="00F87CE8" w:rsidRPr="00F87CE8" w:rsidRDefault="00F87CE8" w:rsidP="00F87CE8">
      <w:pPr>
        <w:pStyle w:val="EndNoteBibliography"/>
        <w:spacing w:after="0"/>
        <w:ind w:left="720" w:hanging="720"/>
      </w:pPr>
      <w:r w:rsidRPr="00F87CE8">
        <w:t xml:space="preserve">Ryabov, E. V., Robinson, D. J., &amp; Taliansky, M. E. (1999). A plant virus-encoded protein facilitates long-distance movement of heterologous viral RNA. </w:t>
      </w:r>
      <w:r w:rsidRPr="00F87CE8">
        <w:rPr>
          <w:i/>
        </w:rPr>
        <w:t>Proceedings of the National Academy of Sciences</w:t>
      </w:r>
      <w:r w:rsidRPr="00F87CE8">
        <w:t>,</w:t>
      </w:r>
      <w:r w:rsidRPr="00F87CE8">
        <w:rPr>
          <w:i/>
        </w:rPr>
        <w:t xml:space="preserve"> 96</w:t>
      </w:r>
      <w:r w:rsidRPr="00F87CE8">
        <w:t xml:space="preserve">(4), 1212-1217. </w:t>
      </w:r>
    </w:p>
    <w:p w14:paraId="7A2D7C7A" w14:textId="77777777" w:rsidR="00F87CE8" w:rsidRPr="00F87CE8" w:rsidRDefault="00F87CE8" w:rsidP="00F87CE8">
      <w:pPr>
        <w:pStyle w:val="EndNoteBibliography"/>
        <w:spacing w:after="0"/>
        <w:ind w:left="720" w:hanging="720"/>
      </w:pPr>
      <w:r w:rsidRPr="00F87CE8">
        <w:t xml:space="preserve">Spiegelman, Z., Golan, G., &amp; Wolf, S. (2013). Don’t kill the messenger: long-distance trafficking of mRNA molecules. </w:t>
      </w:r>
      <w:r w:rsidRPr="00F87CE8">
        <w:rPr>
          <w:i/>
        </w:rPr>
        <w:t>Plant Science</w:t>
      </w:r>
      <w:r w:rsidRPr="00F87CE8">
        <w:t>,</w:t>
      </w:r>
      <w:r w:rsidRPr="00F87CE8">
        <w:rPr>
          <w:i/>
        </w:rPr>
        <w:t xml:space="preserve"> 213</w:t>
      </w:r>
      <w:r w:rsidRPr="00F87CE8">
        <w:t xml:space="preserve">, 1-8. </w:t>
      </w:r>
    </w:p>
    <w:p w14:paraId="2098A89E" w14:textId="77777777" w:rsidR="00F87CE8" w:rsidRPr="00F87CE8" w:rsidRDefault="00F87CE8" w:rsidP="00F87CE8">
      <w:pPr>
        <w:pStyle w:val="EndNoteBibliography"/>
        <w:spacing w:after="0"/>
        <w:ind w:left="720" w:hanging="720"/>
      </w:pPr>
      <w:r w:rsidRPr="00F87CE8">
        <w:t xml:space="preserve">Turgeon, R., &amp; Wolf, S. (2009). Phloem transport: cellular pathways and molecular trafficking. </w:t>
      </w:r>
      <w:r w:rsidRPr="00F87CE8">
        <w:rPr>
          <w:i/>
        </w:rPr>
        <w:t>Annual review of plant biology</w:t>
      </w:r>
      <w:r w:rsidRPr="00F87CE8">
        <w:t>,</w:t>
      </w:r>
      <w:r w:rsidRPr="00F87CE8">
        <w:rPr>
          <w:i/>
        </w:rPr>
        <w:t xml:space="preserve"> 60</w:t>
      </w:r>
      <w:r w:rsidRPr="00F87CE8">
        <w:t xml:space="preserve">, 207-221. </w:t>
      </w:r>
    </w:p>
    <w:p w14:paraId="055D5EF3" w14:textId="77777777" w:rsidR="00F87CE8" w:rsidRPr="00F87CE8" w:rsidRDefault="00F87CE8" w:rsidP="00F87CE8">
      <w:pPr>
        <w:pStyle w:val="EndNoteBibliography"/>
        <w:spacing w:after="0"/>
        <w:ind w:left="720" w:hanging="720"/>
      </w:pPr>
      <w:r w:rsidRPr="00F87CE8">
        <w:t xml:space="preserve">Turnbull, C. G., &amp; Lopez‐Cobollo, R. M. (2013). Heavy traffic in the fast lane: long‐distance signalling by macromolecules. </w:t>
      </w:r>
      <w:r w:rsidRPr="00F87CE8">
        <w:rPr>
          <w:i/>
        </w:rPr>
        <w:t>New phytologist</w:t>
      </w:r>
      <w:r w:rsidRPr="00F87CE8">
        <w:t>,</w:t>
      </w:r>
      <w:r w:rsidRPr="00F87CE8">
        <w:rPr>
          <w:i/>
        </w:rPr>
        <w:t xml:space="preserve"> 198</w:t>
      </w:r>
      <w:r w:rsidRPr="00F87CE8">
        <w:t xml:space="preserve">(1), 33-51. </w:t>
      </w:r>
    </w:p>
    <w:p w14:paraId="44F3EE66" w14:textId="77777777" w:rsidR="00F87CE8" w:rsidRPr="00F87CE8" w:rsidRDefault="00F87CE8" w:rsidP="00F87CE8">
      <w:pPr>
        <w:pStyle w:val="EndNoteBibliography"/>
        <w:spacing w:after="0"/>
        <w:ind w:left="720" w:hanging="720"/>
      </w:pPr>
      <w:r w:rsidRPr="00F87CE8">
        <w:lastRenderedPageBreak/>
        <w:t xml:space="preserve">Wang, Y., Wang, L., Xing, N., Wu, X., Wu, X., Wang, B., Lu, Z., Xu, P., Tao, Y., &amp; Li, G. (2020). A universal pipeline for mobile mRNA detection and insights into heterografting advantages under chilling stress. </w:t>
      </w:r>
      <w:r w:rsidRPr="00F87CE8">
        <w:rPr>
          <w:i/>
        </w:rPr>
        <w:t>Horticulture research</w:t>
      </w:r>
      <w:r w:rsidRPr="00F87CE8">
        <w:t>,</w:t>
      </w:r>
      <w:r w:rsidRPr="00F87CE8">
        <w:rPr>
          <w:i/>
        </w:rPr>
        <w:t xml:space="preserve"> 7</w:t>
      </w:r>
      <w:r w:rsidRPr="00F87CE8">
        <w:t xml:space="preserve">. </w:t>
      </w:r>
    </w:p>
    <w:p w14:paraId="70783ACA" w14:textId="77777777" w:rsidR="00F87CE8" w:rsidRPr="00F87CE8" w:rsidRDefault="00F87CE8" w:rsidP="00F87CE8">
      <w:pPr>
        <w:pStyle w:val="EndNoteBibliography"/>
        <w:spacing w:after="0"/>
        <w:ind w:left="720" w:hanging="720"/>
      </w:pPr>
      <w:r w:rsidRPr="00F87CE8">
        <w:t xml:space="preserve">Xia, C., &amp; Zhang, C. (2020). Long-distance movement of mRNAs in plants. </w:t>
      </w:r>
      <w:r w:rsidRPr="00F87CE8">
        <w:rPr>
          <w:i/>
        </w:rPr>
        <w:t>Plants</w:t>
      </w:r>
      <w:r w:rsidRPr="00F87CE8">
        <w:t>,</w:t>
      </w:r>
      <w:r w:rsidRPr="00F87CE8">
        <w:rPr>
          <w:i/>
        </w:rPr>
        <w:t xml:space="preserve"> 9</w:t>
      </w:r>
      <w:r w:rsidRPr="00F87CE8">
        <w:t xml:space="preserve">(6), 731. </w:t>
      </w:r>
    </w:p>
    <w:p w14:paraId="03E5C80A" w14:textId="77777777" w:rsidR="00F87CE8" w:rsidRPr="00F87CE8" w:rsidRDefault="00F87CE8" w:rsidP="00F87CE8">
      <w:pPr>
        <w:pStyle w:val="EndNoteBibliography"/>
        <w:spacing w:after="0"/>
        <w:ind w:left="720" w:hanging="720"/>
      </w:pPr>
      <w:r w:rsidRPr="00F87CE8">
        <w:t xml:space="preserve">Xia, C., Zheng, Y., Huang, J., Zhou, X., Li, R., Zha, M., Wang, S., Huang, Z., Lan, H., &amp; Turgeon, R. (2018). Elucidation of the mechanisms of long-distance mRNA movement in a Nicotiana benthamiana/tomato heterograft system. </w:t>
      </w:r>
      <w:r w:rsidRPr="00F87CE8">
        <w:rPr>
          <w:i/>
        </w:rPr>
        <w:t>Plant Physiology</w:t>
      </w:r>
      <w:r w:rsidRPr="00F87CE8">
        <w:t>,</w:t>
      </w:r>
      <w:r w:rsidRPr="00F87CE8">
        <w:rPr>
          <w:i/>
        </w:rPr>
        <w:t xml:space="preserve"> 177</w:t>
      </w:r>
      <w:r w:rsidRPr="00F87CE8">
        <w:t xml:space="preserve">(2), 745-758. </w:t>
      </w:r>
    </w:p>
    <w:p w14:paraId="0B8CBF7E" w14:textId="77777777" w:rsidR="00F87CE8" w:rsidRPr="00F87CE8" w:rsidRDefault="00F87CE8" w:rsidP="00F87CE8">
      <w:pPr>
        <w:pStyle w:val="EndNoteBibliography"/>
        <w:spacing w:after="0"/>
        <w:ind w:left="720" w:hanging="720"/>
      </w:pPr>
      <w:r w:rsidRPr="00F87CE8">
        <w:t xml:space="preserve">Yang, Y., Mao, L., Jittayasothorn, Y., Kang, Y., Jiao, C., Fei, Z., &amp; Zhong, G.-Y. (2015). Messenger RNA exchange between scions and rootstocks in grafted grapevines. </w:t>
      </w:r>
      <w:r w:rsidRPr="00F87CE8">
        <w:rPr>
          <w:i/>
        </w:rPr>
        <w:t>BMC Plant Biology</w:t>
      </w:r>
      <w:r w:rsidRPr="00F87CE8">
        <w:t>,</w:t>
      </w:r>
      <w:r w:rsidRPr="00F87CE8">
        <w:rPr>
          <w:i/>
        </w:rPr>
        <w:t xml:space="preserve"> 15</w:t>
      </w:r>
      <w:r w:rsidRPr="00F87CE8">
        <w:t xml:space="preserve">(1), 1-14. </w:t>
      </w:r>
    </w:p>
    <w:p w14:paraId="1D64B01A" w14:textId="77777777" w:rsidR="00F87CE8" w:rsidRPr="00F87CE8" w:rsidRDefault="00F87CE8" w:rsidP="00F87CE8">
      <w:pPr>
        <w:pStyle w:val="EndNoteBibliography"/>
        <w:spacing w:after="0"/>
        <w:ind w:left="720" w:hanging="720"/>
      </w:pPr>
      <w:r w:rsidRPr="00F87CE8">
        <w:t xml:space="preserve">Yoo, S. J., Hong, S. M., Jung, H. S., &amp; Ahn, J. H. (2013). The cotyledons produce sufficient FT protein to induce flowering: evidence from cotyledon micrografting in Arabidopsis. </w:t>
      </w:r>
      <w:r w:rsidRPr="00F87CE8">
        <w:rPr>
          <w:i/>
        </w:rPr>
        <w:t>Plant and cell physiology</w:t>
      </w:r>
      <w:r w:rsidRPr="00F87CE8">
        <w:t>,</w:t>
      </w:r>
      <w:r w:rsidRPr="00F87CE8">
        <w:rPr>
          <w:i/>
        </w:rPr>
        <w:t xml:space="preserve"> 54</w:t>
      </w:r>
      <w:r w:rsidRPr="00F87CE8">
        <w:t xml:space="preserve">(1), 119-128. </w:t>
      </w:r>
    </w:p>
    <w:p w14:paraId="492441FA" w14:textId="77777777" w:rsidR="00F87CE8" w:rsidRPr="00F87CE8" w:rsidRDefault="00F87CE8" w:rsidP="00F87CE8">
      <w:pPr>
        <w:pStyle w:val="EndNoteBibliography"/>
        <w:spacing w:after="0"/>
        <w:ind w:left="720" w:hanging="720"/>
      </w:pPr>
      <w:r w:rsidRPr="00F87CE8">
        <w:t xml:space="preserve">Yoshida, S., Cui, S., Ichihashi, Y., &amp; Shirasu, K. (2016). The haustorium, a specialized invasive organ in parasitic plants. </w:t>
      </w:r>
      <w:r w:rsidRPr="00F87CE8">
        <w:rPr>
          <w:i/>
        </w:rPr>
        <w:t>Annual review of plant biology</w:t>
      </w:r>
      <w:r w:rsidRPr="00F87CE8">
        <w:t>,</w:t>
      </w:r>
      <w:r w:rsidRPr="00F87CE8">
        <w:rPr>
          <w:i/>
        </w:rPr>
        <w:t xml:space="preserve"> 67</w:t>
      </w:r>
      <w:r w:rsidRPr="00F87CE8">
        <w:t xml:space="preserve">, 643-667. </w:t>
      </w:r>
    </w:p>
    <w:p w14:paraId="7F5B157E" w14:textId="77777777" w:rsidR="00F87CE8" w:rsidRPr="00F87CE8" w:rsidRDefault="00F87CE8" w:rsidP="00F87CE8">
      <w:pPr>
        <w:pStyle w:val="EndNoteBibliography"/>
        <w:ind w:left="720" w:hanging="720"/>
      </w:pPr>
      <w:r w:rsidRPr="00F87CE8">
        <w:t xml:space="preserve">Zhang, G., Zhou, J., Song, J., Guo, X., Nie, X., &amp; Guo, H. (2022). Grafting-induced transcriptome changes and long-distance mRNA movement in the potato/Datura stramonium heterograft system. </w:t>
      </w:r>
      <w:r w:rsidRPr="00F87CE8">
        <w:rPr>
          <w:i/>
        </w:rPr>
        <w:t>Horticulture, Environment, and Biotechnology</w:t>
      </w:r>
      <w:r w:rsidRPr="00F87CE8">
        <w:t>,</w:t>
      </w:r>
      <w:r w:rsidRPr="00F87CE8">
        <w:rPr>
          <w:i/>
        </w:rPr>
        <w:t xml:space="preserve"> 63</w:t>
      </w:r>
      <w:r w:rsidRPr="00F87CE8">
        <w:t xml:space="preserve">(2), 229-238. </w:t>
      </w:r>
    </w:p>
    <w:p w14:paraId="12192D7B" w14:textId="22E9D347" w:rsidR="0098756D" w:rsidRPr="0098756D" w:rsidRDefault="00530443" w:rsidP="00F87CE8">
      <w:pPr>
        <w:jc w:val="both"/>
        <w:rPr>
          <w:rFonts w:asciiTheme="majorBidi" w:hAnsiTheme="majorBidi" w:cstheme="majorBidi"/>
          <w:sz w:val="24"/>
          <w:szCs w:val="24"/>
        </w:rPr>
      </w:pPr>
      <w:r>
        <w:rPr>
          <w:rFonts w:asciiTheme="majorBidi" w:hAnsiTheme="majorBidi" w:cstheme="majorBidi"/>
          <w:sz w:val="24"/>
          <w:szCs w:val="24"/>
        </w:rPr>
        <w:fldChar w:fldCharType="end"/>
      </w:r>
    </w:p>
    <w:sectPr w:rsidR="0098756D" w:rsidRPr="0098756D"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record-ids&gt;&lt;/item&gt;&lt;/Libraries&gt;"/>
  </w:docVars>
  <w:rsids>
    <w:rsidRoot w:val="00F81DD7"/>
    <w:rsid w:val="00020A99"/>
    <w:rsid w:val="0013356D"/>
    <w:rsid w:val="001F45CD"/>
    <w:rsid w:val="00210584"/>
    <w:rsid w:val="00265F26"/>
    <w:rsid w:val="00291715"/>
    <w:rsid w:val="002E2F4D"/>
    <w:rsid w:val="00402AB7"/>
    <w:rsid w:val="00425924"/>
    <w:rsid w:val="004579DE"/>
    <w:rsid w:val="0046134C"/>
    <w:rsid w:val="004D7C43"/>
    <w:rsid w:val="004F19E2"/>
    <w:rsid w:val="00515CCD"/>
    <w:rsid w:val="00530443"/>
    <w:rsid w:val="005766E6"/>
    <w:rsid w:val="00580E4A"/>
    <w:rsid w:val="005825C2"/>
    <w:rsid w:val="00590518"/>
    <w:rsid w:val="00653C79"/>
    <w:rsid w:val="00661899"/>
    <w:rsid w:val="006E4FD6"/>
    <w:rsid w:val="006E5C73"/>
    <w:rsid w:val="006F0B9C"/>
    <w:rsid w:val="00741F78"/>
    <w:rsid w:val="0074202F"/>
    <w:rsid w:val="0076383E"/>
    <w:rsid w:val="007A6CC6"/>
    <w:rsid w:val="007B0375"/>
    <w:rsid w:val="007F2B3C"/>
    <w:rsid w:val="00872EAD"/>
    <w:rsid w:val="00875834"/>
    <w:rsid w:val="00896FD5"/>
    <w:rsid w:val="008A33BE"/>
    <w:rsid w:val="008F0080"/>
    <w:rsid w:val="009440FE"/>
    <w:rsid w:val="0098756D"/>
    <w:rsid w:val="00A61674"/>
    <w:rsid w:val="00A67B33"/>
    <w:rsid w:val="00AD221B"/>
    <w:rsid w:val="00B10EBE"/>
    <w:rsid w:val="00B30EDE"/>
    <w:rsid w:val="00B512DD"/>
    <w:rsid w:val="00BC7532"/>
    <w:rsid w:val="00BD6561"/>
    <w:rsid w:val="00BD69BA"/>
    <w:rsid w:val="00BE1E1E"/>
    <w:rsid w:val="00C61FCE"/>
    <w:rsid w:val="00D5668A"/>
    <w:rsid w:val="00DA7675"/>
    <w:rsid w:val="00E43A28"/>
    <w:rsid w:val="00E44B34"/>
    <w:rsid w:val="00E475E8"/>
    <w:rsid w:val="00F81DD7"/>
    <w:rsid w:val="00F87CE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4184</Words>
  <Characters>23853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38</cp:revision>
  <dcterms:created xsi:type="dcterms:W3CDTF">2023-02-04T15:07:00Z</dcterms:created>
  <dcterms:modified xsi:type="dcterms:W3CDTF">2023-02-05T13:08:00Z</dcterms:modified>
</cp:coreProperties>
</file>