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Data-Driven and Physics-Informed Neural Networks</w:t>
      </w:r>
    </w:p>
    <w:p>
      <w:r>
        <w:t>Interim academic report: data preparation and data-driven model selection</w:t>
      </w:r>
    </w:p>
    <w:p>
      <w:pPr>
        <w:pStyle w:val="Heading1"/>
      </w:pPr>
      <w:r>
        <w:t>1. Objective and data preparation</w:t>
      </w:r>
    </w:p>
    <w:p>
      <w:r>
        <w:t>The objective is to compare a feedforward regression network with a physics-informed network incorporating y = x₂² / (72.2 × x₁^(−m)), where m &gt; 0 is learned separately for each sample from its inputs. This report documents completed data preparation and data-driven cross-validation. Physics-informed training, full-training refitting, and final testing remain pending.</w:t>
      </w:r>
    </w:p>
    <w:p>
      <w:r>
        <w:t>The supplied Database.xls workbook contains 1,865 observations, nine predictors (x1–x9), and target y. The second header row supplies feature names. IDs are unique and serve only as identifiers. No missing or nonfinite values were found. All observations were retained, including extreme values and repeated records. There are 1,859 distinct predictor combinations: six pairs share all nine inputs, including two pairs with identical y and four with different y. Predictor-group metadata prevent matching inputs from crossing partition boundaries; neither group number nor ID enters the network.</w:t>
      </w:r>
    </w:p>
    <w:p>
      <w:r>
        <w:t>x1, x2, and y are positive; x3, x7, and x8 contain zeros. y ranges approximately from 0.000075 to 46.863905. The search compares raw inputs with log10-transformed x1, x2, x4, x5, and x6; other features remain unchanged. Compression is especially motivated by the broad ranges of x2 and x4. Each representation is standardized using fitting-fold means and standard deviations only. The fixed target representation is log10(y); predictions are recovered as 10 raised to the network output, with invalid numerical results rejected rather than clipped. Original feature units are retained for subsequent physical calculations.</w:t>
      </w:r>
    </w:p>
    <w:p>
      <w:pPr>
        <w:pStyle w:val="Heading1"/>
      </w:pPr>
      <w:r>
        <w:t>2. Partitioning and search design</w:t>
      </w:r>
    </w:p>
    <w:p>
      <w:r>
        <w:t>Seed-42 GroupShuffleSplit holds out 20% of predictor groups, yielding 1,493 training observations (80.05%) and 372 test observations (19.95%). Shuffled GroupKFold with seed 42 creates five group-disjoint training folds, containing 298, 298, 300, 300, and 297 validation observations. All samples are assigned once; group separation and deterministic regeneration were checked. These assignments will also be used for the physics-informed model. Test observations were not scored or used for tuning.</w:t>
      </w:r>
    </w:p>
    <w:tbl>
      <w:tblPr>
        <w:tblStyle w:val="LightShading-Accent1"/>
        <w:tblW w:type="auto" w:w="0"/>
        <w:tblLook w:firstColumn="1" w:firstRow="1" w:lastColumn="0" w:lastRow="0" w:noHBand="0" w:noVBand="1" w:val="04A0"/>
      </w:tblPr>
      <w:tblGrid>
        <w:gridCol w:w="5184"/>
        <w:gridCol w:w="5184"/>
      </w:tblGrid>
      <w:tr>
        <w:tc>
          <w:tcPr>
            <w:tcW w:type="dxa" w:w="5184"/>
          </w:tcPr>
          <w:p>
            <w:pPr>
              <w:spacing w:after="60" w:before="0"/>
            </w:pPr>
            <w:r>
              <w:rPr>
                <w:sz w:val="18"/>
              </w:rPr>
              <w:t>Hyperparameter</w:t>
            </w:r>
          </w:p>
        </w:tc>
        <w:tc>
          <w:tcPr>
            <w:tcW w:type="dxa" w:w="5184"/>
          </w:tcPr>
          <w:p>
            <w:pPr>
              <w:spacing w:after="60" w:before="0"/>
            </w:pPr>
            <w:r>
              <w:rPr>
                <w:sz w:val="18"/>
              </w:rPr>
              <w:t>Candidate values / rationale</w:t>
            </w:r>
          </w:p>
        </w:tc>
      </w:tr>
      <w:tr>
        <w:tc>
          <w:tcPr>
            <w:tcW w:type="dxa" w:w="5184"/>
          </w:tcPr>
          <w:p>
            <w:pPr>
              <w:spacing w:after="60" w:before="0"/>
            </w:pPr>
            <w:r>
              <w:rPr>
                <w:sz w:val="18"/>
              </w:rPr>
              <w:t>Hidden layers; uniform width</w:t>
            </w:r>
          </w:p>
        </w:tc>
        <w:tc>
          <w:tcPr>
            <w:tcW w:type="dxa" w:w="5184"/>
          </w:tcPr>
          <w:p>
            <w:pPr>
              <w:spacing w:after="60" w:before="0"/>
            </w:pPr>
            <w:r>
              <w:rPr>
                <w:sz w:val="18"/>
              </w:rPr>
              <w:t>1, 2, 3 layers; 16, 32, 64 neurons: modest capacities for nine inputs</w:t>
            </w:r>
          </w:p>
        </w:tc>
      </w:tr>
      <w:tr>
        <w:tc>
          <w:tcPr>
            <w:tcW w:type="dxa" w:w="5184"/>
          </w:tcPr>
          <w:p>
            <w:pPr>
              <w:spacing w:after="60" w:before="0"/>
            </w:pPr>
            <w:r>
              <w:rPr>
                <w:sz w:val="18"/>
              </w:rPr>
              <w:t>Activation</w:t>
            </w:r>
          </w:p>
        </w:tc>
        <w:tc>
          <w:tcPr>
            <w:tcW w:type="dxa" w:w="5184"/>
          </w:tcPr>
          <w:p>
            <w:pPr>
              <w:spacing w:after="60" w:before="0"/>
            </w:pPr>
            <w:r>
              <w:rPr>
                <w:sz w:val="18"/>
              </w:rPr>
              <w:t>ReLU, tanh: piecewise-linear versus smooth mappings</w:t>
            </w:r>
          </w:p>
        </w:tc>
      </w:tr>
      <w:tr>
        <w:tc>
          <w:tcPr>
            <w:tcW w:type="dxa" w:w="5184"/>
          </w:tcPr>
          <w:p>
            <w:pPr>
              <w:spacing w:after="60" w:before="0"/>
            </w:pPr>
            <w:r>
              <w:rPr>
                <w:sz w:val="18"/>
              </w:rPr>
              <w:t>Learning rate</w:t>
            </w:r>
          </w:p>
        </w:tc>
        <w:tc>
          <w:tcPr>
            <w:tcW w:type="dxa" w:w="5184"/>
          </w:tcPr>
          <w:p>
            <w:pPr>
              <w:spacing w:after="60" w:before="0"/>
            </w:pPr>
            <w:r>
              <w:rPr>
                <w:sz w:val="18"/>
              </w:rPr>
              <w:t>0.0003, 0.001, 0.003: tenfold Adam rate range</w:t>
            </w:r>
          </w:p>
        </w:tc>
      </w:tr>
      <w:tr>
        <w:tc>
          <w:tcPr>
            <w:tcW w:type="dxa" w:w="5184"/>
          </w:tcPr>
          <w:p>
            <w:pPr>
              <w:spacing w:after="60" w:before="0"/>
            </w:pPr>
            <w:r>
              <w:rPr>
                <w:sz w:val="18"/>
              </w:rPr>
              <w:t>Batch size</w:t>
            </w:r>
          </w:p>
        </w:tc>
        <w:tc>
          <w:tcPr>
            <w:tcW w:type="dxa" w:w="5184"/>
          </w:tcPr>
          <w:p>
            <w:pPr>
              <w:spacing w:after="60" w:before="0"/>
            </w:pPr>
            <w:r>
              <w:rPr>
                <w:sz w:val="18"/>
              </w:rPr>
              <w:t>32, 64, 128: different update frequencies and averaging</w:t>
            </w:r>
          </w:p>
        </w:tc>
      </w:tr>
      <w:tr>
        <w:tc>
          <w:tcPr>
            <w:tcW w:type="dxa" w:w="5184"/>
          </w:tcPr>
          <w:p>
            <w:pPr>
              <w:spacing w:after="60" w:before="0"/>
            </w:pPr>
            <w:r>
              <w:rPr>
                <w:sz w:val="18"/>
              </w:rPr>
              <w:t>L2 coefficient</w:t>
            </w:r>
          </w:p>
        </w:tc>
        <w:tc>
          <w:tcPr>
            <w:tcW w:type="dxa" w:w="5184"/>
          </w:tcPr>
          <w:p>
            <w:pPr>
              <w:spacing w:after="60" w:before="0"/>
            </w:pPr>
            <w:r>
              <w:rPr>
                <w:sz w:val="18"/>
              </w:rPr>
              <w:t>0, 0.00001, 0.0001, 0.001: unregularized to stronger penalties</w:t>
            </w:r>
          </w:p>
        </w:tc>
      </w:tr>
      <w:tr>
        <w:tc>
          <w:tcPr>
            <w:tcW w:type="dxa" w:w="5184"/>
          </w:tcPr>
          <w:p>
            <w:pPr>
              <w:spacing w:after="60" w:before="0"/>
            </w:pPr>
            <w:r>
              <w:rPr>
                <w:sz w:val="18"/>
              </w:rPr>
              <w:t>Selected input logarithms</w:t>
            </w:r>
          </w:p>
        </w:tc>
        <w:tc>
          <w:tcPr>
            <w:tcW w:type="dxa" w:w="5184"/>
          </w:tcPr>
          <w:p>
            <w:pPr>
              <w:spacing w:after="60" w:before="0"/>
            </w:pPr>
            <w:r>
              <w:rPr>
                <w:sz w:val="18"/>
              </w:rPr>
              <w:t>Enabled or disabled; standardization follows either choice</w:t>
            </w:r>
          </w:p>
        </w:tc>
      </w:tr>
    </w:tbl>
    <w:p>
      <w:r>
        <w:t>Twenty distinct combinations were sampled without replacement from 1,296 possibilities using NumPy seed 42, giving 100 fold fits. This is a predefined budget-limited random search, not exhaustive optimization. The training objective is mean squared log10-target error plus α times the sum of squared weight-matrix entries; biases are excluded from L2. No separate weight decay or learning-rate schedule is used.</w:t>
      </w:r>
    </w:p>
    <w:p>
      <w:r>
        <w:br w:type="page"/>
      </w:r>
    </w:p>
    <w:p>
      <w:pPr>
        <w:pStyle w:val="Heading1"/>
      </w:pPr>
      <w:r>
        <w:t>3. Training protocol and selected configuration</w:t>
      </w:r>
    </w:p>
    <w:p>
      <w:r>
        <w:t>Adam uses β₁ = 0.9, β₂ = 0.999, and ε = 10⁻⁷. Hidden layers use He initialization for ReLU or Xavier initialization with tanh gain; the output uses Xavier initialization and biases start at zero. Fold seeds are 42 + fold number and are shared across candidates. CPU execution uses one PyTorch thread and deterministic algorithms. Early stopping monitors validation RMSLE, with 1,000 maximum epochs, patience 50, and minimum improvement 10⁻⁵. The absolute lowest validation-score checkpoint is retained; the improvement threshold controls patience only.</w:t>
      </w:r>
    </w:p>
    <w:p>
      <w:r>
        <w:t>The selection metric is RMSLE₁₀ = √mean[(log₁₀(1 + ŷ) − log₁₀(1 + y))²], with predictions on their original scale. This explicit +1 convention differs from RMSE in log10(y) space. The selected candidate minimizes mean validation RMSLE across five folds; standard deviation is calculated with ddof = 1.</w:t>
      </w:r>
    </w:p>
    <w:p>
      <w:r>
        <w:t>Configuration 2 was selected: three hidden layers of 16 neurons (9 → 16 → 16 → 16 → 1), ReLU activation, learning rate 0.003, batch size 64, L2 coefficient 0.001, and selected-feature logarithms enabled. Mean validation RMSLE is 0.299685 ± 0.016474 (fold standard deviation). The next-ranked candidate scores 0.302644; this small difference does not establish statistical superiority.</w:t>
      </w:r>
    </w:p>
    <w:tbl>
      <w:tblPr>
        <w:tblStyle w:val="LightShading-Accent1"/>
        <w:tblW w:type="auto" w:w="0"/>
        <w:tblLook w:firstColumn="1" w:firstRow="1" w:lastColumn="0" w:lastRow="0" w:noHBand="0" w:noVBand="1" w:val="04A0"/>
      </w:tblPr>
      <w:tblGrid>
        <w:gridCol w:w="2074"/>
        <w:gridCol w:w="2074"/>
        <w:gridCol w:w="2074"/>
        <w:gridCol w:w="2074"/>
        <w:gridCol w:w="2074"/>
      </w:tblGrid>
      <w:tr>
        <w:tc>
          <w:tcPr>
            <w:tcW w:type="dxa" w:w="2074"/>
          </w:tcPr>
          <w:p>
            <w:pPr>
              <w:spacing w:after="60" w:before="0"/>
            </w:pPr>
            <w:r>
              <w:rPr>
                <w:sz w:val="18"/>
              </w:rPr>
              <w:t>Fold</w:t>
            </w:r>
          </w:p>
        </w:tc>
        <w:tc>
          <w:tcPr>
            <w:tcW w:type="dxa" w:w="2074"/>
          </w:tcPr>
          <w:p>
            <w:pPr>
              <w:spacing w:after="60" w:before="0"/>
            </w:pPr>
            <w:r>
              <w:rPr>
                <w:sz w:val="18"/>
              </w:rPr>
              <w:t>Validation RMSLE</w:t>
            </w:r>
          </w:p>
        </w:tc>
        <w:tc>
          <w:tcPr>
            <w:tcW w:type="dxa" w:w="2074"/>
          </w:tcPr>
          <w:p>
            <w:pPr>
              <w:spacing w:after="60" w:before="0"/>
            </w:pPr>
            <w:r>
              <w:rPr>
                <w:sz w:val="18"/>
              </w:rPr>
              <w:t>Best epoch</w:t>
            </w:r>
          </w:p>
        </w:tc>
        <w:tc>
          <w:tcPr>
            <w:tcW w:type="dxa" w:w="2074"/>
          </w:tcPr>
          <w:p>
            <w:pPr>
              <w:spacing w:after="60" w:before="0"/>
            </w:pPr>
            <w:r>
              <w:rPr>
                <w:sz w:val="18"/>
              </w:rPr>
              <w:t>Stopping epoch</w:t>
            </w:r>
          </w:p>
        </w:tc>
        <w:tc>
          <w:tcPr>
            <w:tcW w:type="dxa" w:w="2074"/>
          </w:tcPr>
          <w:p>
            <w:pPr>
              <w:spacing w:after="60" w:before="0"/>
            </w:pPr>
            <w:r>
              <w:rPr>
                <w:sz w:val="18"/>
              </w:rPr>
              <w:t>Runtime (s)</w:t>
            </w:r>
          </w:p>
        </w:tc>
      </w:tr>
      <w:tr>
        <w:tc>
          <w:tcPr>
            <w:tcW w:type="dxa" w:w="2074"/>
          </w:tcPr>
          <w:p>
            <w:pPr>
              <w:spacing w:after="60" w:before="0"/>
            </w:pPr>
            <w:r>
              <w:rPr>
                <w:sz w:val="18"/>
              </w:rPr>
              <w:t>1</w:t>
            </w:r>
          </w:p>
        </w:tc>
        <w:tc>
          <w:tcPr>
            <w:tcW w:type="dxa" w:w="2074"/>
          </w:tcPr>
          <w:p>
            <w:pPr>
              <w:spacing w:after="60" w:before="0"/>
            </w:pPr>
            <w:r>
              <w:rPr>
                <w:sz w:val="18"/>
              </w:rPr>
              <w:t>0.304186</w:t>
            </w:r>
          </w:p>
        </w:tc>
        <w:tc>
          <w:tcPr>
            <w:tcW w:type="dxa" w:w="2074"/>
          </w:tcPr>
          <w:p>
            <w:pPr>
              <w:spacing w:after="60" w:before="0"/>
            </w:pPr>
            <w:r>
              <w:rPr>
                <w:sz w:val="18"/>
              </w:rPr>
              <w:t>31</w:t>
            </w:r>
          </w:p>
        </w:tc>
        <w:tc>
          <w:tcPr>
            <w:tcW w:type="dxa" w:w="2074"/>
          </w:tcPr>
          <w:p>
            <w:pPr>
              <w:spacing w:after="60" w:before="0"/>
            </w:pPr>
            <w:r>
              <w:rPr>
                <w:sz w:val="18"/>
              </w:rPr>
              <w:t>81</w:t>
            </w:r>
          </w:p>
        </w:tc>
        <w:tc>
          <w:tcPr>
            <w:tcW w:type="dxa" w:w="2074"/>
          </w:tcPr>
          <w:p>
            <w:pPr>
              <w:spacing w:after="60" w:before="0"/>
            </w:pPr>
            <w:r>
              <w:rPr>
                <w:sz w:val="18"/>
              </w:rPr>
              <w:t>1.01</w:t>
            </w:r>
          </w:p>
        </w:tc>
      </w:tr>
      <w:tr>
        <w:tc>
          <w:tcPr>
            <w:tcW w:type="dxa" w:w="2074"/>
          </w:tcPr>
          <w:p>
            <w:pPr>
              <w:spacing w:after="60" w:before="0"/>
            </w:pPr>
            <w:r>
              <w:rPr>
                <w:sz w:val="18"/>
              </w:rPr>
              <w:t>2</w:t>
            </w:r>
          </w:p>
        </w:tc>
        <w:tc>
          <w:tcPr>
            <w:tcW w:type="dxa" w:w="2074"/>
          </w:tcPr>
          <w:p>
            <w:pPr>
              <w:spacing w:after="60" w:before="0"/>
            </w:pPr>
            <w:r>
              <w:rPr>
                <w:sz w:val="18"/>
              </w:rPr>
              <w:t>0.307538</w:t>
            </w:r>
          </w:p>
        </w:tc>
        <w:tc>
          <w:tcPr>
            <w:tcW w:type="dxa" w:w="2074"/>
          </w:tcPr>
          <w:p>
            <w:pPr>
              <w:spacing w:after="60" w:before="0"/>
            </w:pPr>
            <w:r>
              <w:rPr>
                <w:sz w:val="18"/>
              </w:rPr>
              <w:t>123</w:t>
            </w:r>
          </w:p>
        </w:tc>
        <w:tc>
          <w:tcPr>
            <w:tcW w:type="dxa" w:w="2074"/>
          </w:tcPr>
          <w:p>
            <w:pPr>
              <w:spacing w:after="60" w:before="0"/>
            </w:pPr>
            <w:r>
              <w:rPr>
                <w:sz w:val="18"/>
              </w:rPr>
              <w:t>173</w:t>
            </w:r>
          </w:p>
        </w:tc>
        <w:tc>
          <w:tcPr>
            <w:tcW w:type="dxa" w:w="2074"/>
          </w:tcPr>
          <w:p>
            <w:pPr>
              <w:spacing w:after="60" w:before="0"/>
            </w:pPr>
            <w:r>
              <w:rPr>
                <w:sz w:val="18"/>
              </w:rPr>
              <w:t>2.23</w:t>
            </w:r>
          </w:p>
        </w:tc>
      </w:tr>
      <w:tr>
        <w:tc>
          <w:tcPr>
            <w:tcW w:type="dxa" w:w="2074"/>
          </w:tcPr>
          <w:p>
            <w:pPr>
              <w:spacing w:after="60" w:before="0"/>
            </w:pPr>
            <w:r>
              <w:rPr>
                <w:sz w:val="18"/>
              </w:rPr>
              <w:t>3</w:t>
            </w:r>
          </w:p>
        </w:tc>
        <w:tc>
          <w:tcPr>
            <w:tcW w:type="dxa" w:w="2074"/>
          </w:tcPr>
          <w:p>
            <w:pPr>
              <w:spacing w:after="60" w:before="0"/>
            </w:pPr>
            <w:r>
              <w:rPr>
                <w:sz w:val="18"/>
              </w:rPr>
              <w:t>0.285252</w:t>
            </w:r>
          </w:p>
        </w:tc>
        <w:tc>
          <w:tcPr>
            <w:tcW w:type="dxa" w:w="2074"/>
          </w:tcPr>
          <w:p>
            <w:pPr>
              <w:spacing w:after="60" w:before="0"/>
            </w:pPr>
            <w:r>
              <w:rPr>
                <w:sz w:val="18"/>
              </w:rPr>
              <w:t>89</w:t>
            </w:r>
          </w:p>
        </w:tc>
        <w:tc>
          <w:tcPr>
            <w:tcW w:type="dxa" w:w="2074"/>
          </w:tcPr>
          <w:p>
            <w:pPr>
              <w:spacing w:after="60" w:before="0"/>
            </w:pPr>
            <w:r>
              <w:rPr>
                <w:sz w:val="18"/>
              </w:rPr>
              <w:t>139</w:t>
            </w:r>
          </w:p>
        </w:tc>
        <w:tc>
          <w:tcPr>
            <w:tcW w:type="dxa" w:w="2074"/>
          </w:tcPr>
          <w:p>
            <w:pPr>
              <w:spacing w:after="60" w:before="0"/>
            </w:pPr>
            <w:r>
              <w:rPr>
                <w:sz w:val="18"/>
              </w:rPr>
              <w:t>1.90</w:t>
            </w:r>
          </w:p>
        </w:tc>
      </w:tr>
      <w:tr>
        <w:tc>
          <w:tcPr>
            <w:tcW w:type="dxa" w:w="2074"/>
          </w:tcPr>
          <w:p>
            <w:pPr>
              <w:spacing w:after="60" w:before="0"/>
            </w:pPr>
            <w:r>
              <w:rPr>
                <w:sz w:val="18"/>
              </w:rPr>
              <w:t>4</w:t>
            </w:r>
          </w:p>
        </w:tc>
        <w:tc>
          <w:tcPr>
            <w:tcW w:type="dxa" w:w="2074"/>
          </w:tcPr>
          <w:p>
            <w:pPr>
              <w:spacing w:after="60" w:before="0"/>
            </w:pPr>
            <w:r>
              <w:rPr>
                <w:sz w:val="18"/>
              </w:rPr>
              <w:t>0.320640</w:t>
            </w:r>
          </w:p>
        </w:tc>
        <w:tc>
          <w:tcPr>
            <w:tcW w:type="dxa" w:w="2074"/>
          </w:tcPr>
          <w:p>
            <w:pPr>
              <w:spacing w:after="60" w:before="0"/>
            </w:pPr>
            <w:r>
              <w:rPr>
                <w:sz w:val="18"/>
              </w:rPr>
              <w:t>39</w:t>
            </w:r>
          </w:p>
        </w:tc>
        <w:tc>
          <w:tcPr>
            <w:tcW w:type="dxa" w:w="2074"/>
          </w:tcPr>
          <w:p>
            <w:pPr>
              <w:spacing w:after="60" w:before="0"/>
            </w:pPr>
            <w:r>
              <w:rPr>
                <w:sz w:val="18"/>
              </w:rPr>
              <w:t>89</w:t>
            </w:r>
          </w:p>
        </w:tc>
        <w:tc>
          <w:tcPr>
            <w:tcW w:type="dxa" w:w="2074"/>
          </w:tcPr>
          <w:p>
            <w:pPr>
              <w:spacing w:after="60" w:before="0"/>
            </w:pPr>
            <w:r>
              <w:rPr>
                <w:sz w:val="18"/>
              </w:rPr>
              <w:t>1.21</w:t>
            </w:r>
          </w:p>
        </w:tc>
      </w:tr>
      <w:tr>
        <w:tc>
          <w:tcPr>
            <w:tcW w:type="dxa" w:w="2074"/>
          </w:tcPr>
          <w:p>
            <w:pPr>
              <w:spacing w:after="60" w:before="0"/>
            </w:pPr>
            <w:r>
              <w:rPr>
                <w:sz w:val="18"/>
              </w:rPr>
              <w:t>5</w:t>
            </w:r>
          </w:p>
        </w:tc>
        <w:tc>
          <w:tcPr>
            <w:tcW w:type="dxa" w:w="2074"/>
          </w:tcPr>
          <w:p>
            <w:pPr>
              <w:spacing w:after="60" w:before="0"/>
            </w:pPr>
            <w:r>
              <w:rPr>
                <w:sz w:val="18"/>
              </w:rPr>
              <w:t>0.280810</w:t>
            </w:r>
          </w:p>
        </w:tc>
        <w:tc>
          <w:tcPr>
            <w:tcW w:type="dxa" w:w="2074"/>
          </w:tcPr>
          <w:p>
            <w:pPr>
              <w:spacing w:after="60" w:before="0"/>
            </w:pPr>
            <w:r>
              <w:rPr>
                <w:sz w:val="18"/>
              </w:rPr>
              <w:t>78</w:t>
            </w:r>
          </w:p>
        </w:tc>
        <w:tc>
          <w:tcPr>
            <w:tcW w:type="dxa" w:w="2074"/>
          </w:tcPr>
          <w:p>
            <w:pPr>
              <w:spacing w:after="60" w:before="0"/>
            </w:pPr>
            <w:r>
              <w:rPr>
                <w:sz w:val="18"/>
              </w:rPr>
              <w:t>128</w:t>
            </w:r>
          </w:p>
        </w:tc>
        <w:tc>
          <w:tcPr>
            <w:tcW w:type="dxa" w:w="2074"/>
          </w:tcPr>
          <w:p>
            <w:pPr>
              <w:spacing w:after="60" w:before="0"/>
            </w:pPr>
            <w:r>
              <w:rPr>
                <w:sz w:val="18"/>
              </w:rPr>
              <w:t>1.69</w:t>
            </w:r>
          </w:p>
        </w:tc>
      </w:tr>
    </w:tbl>
    <w:p>
      <w:r>
        <w:drawing>
          <wp:inline xmlns:a="http://schemas.openxmlformats.org/drawingml/2006/main" xmlns:pic="http://schemas.openxmlformats.org/drawingml/2006/picture">
            <wp:extent cx="6355080" cy="3442335"/>
            <wp:docPr id="1" name="Picture 1"/>
            <wp:cNvGraphicFramePr>
              <a:graphicFrameLocks noChangeAspect="1"/>
            </wp:cNvGraphicFramePr>
            <a:graphic>
              <a:graphicData uri="http://schemas.openxmlformats.org/drawingml/2006/picture">
                <pic:pic>
                  <pic:nvPicPr>
                    <pic:cNvPr id="0" name="selected_all_folds_learning_curves.png"/>
                    <pic:cNvPicPr/>
                  </pic:nvPicPr>
                  <pic:blipFill>
                    <a:blip r:embed="rId10"/>
                    <a:stretch>
                      <a:fillRect/>
                    </a:stretch>
                  </pic:blipFill>
                  <pic:spPr>
                    <a:xfrm>
                      <a:off x="0" y="0"/>
                      <a:ext cx="6355080" cy="3442335"/>
                    </a:xfrm>
                    <a:prstGeom prst="rect"/>
                  </pic:spPr>
                </pic:pic>
              </a:graphicData>
            </a:graphic>
          </wp:inline>
        </w:drawing>
      </w:r>
    </w:p>
    <w:p>
      <w:r>
        <w:rPr>
          <w:sz w:val="18"/>
        </w:rPr>
        <w:t>Figure 1. Training and validation RMSLE for all five folds of the selected configuration. Dashed lines mark retained checkpoints. Curves end at actual early-stopping epochs; shorter runs are not padded. Shared axes support comparison. No test error is plotted.</w:t>
      </w:r>
    </w:p>
    <w:p>
      <w:r>
        <w:br w:type="page"/>
      </w:r>
    </w:p>
    <w:p>
      <w:pPr>
        <w:pStyle w:val="Heading1"/>
      </w:pPr>
      <w:r>
        <w:t>4. Computational runtime and interpretation</w:t>
      </w:r>
    </w:p>
    <w:p>
      <w:r>
        <w:t>All 20 candidates completed five folds (100 fits). Cumulative measured fold-training time was 293.20 s (4.89 min); the complete search invocation took 294.29 s (4.90 min), excluding dependency installation. The selected candidate’s five fits required 8.05 s in total. These are measurements on the current single-threaded CPU environment, not estimates of Colab runtime. Software versions recorded with the experiment are Python 3.12.14, PyTorch 2.14.1+cpu, NumPy 2.3.5, pandas 2.2.3, and scikit-learn 1.8.0.</w:t>
      </w:r>
    </w:p>
    <w:p>
      <w:r>
        <w:t>No fit reached the epoch ceiling. Different stopping epochs reflect fold-specific validation trajectories. Training error generally continues to decline after validation improvement slows, indicating a generalization gap and supporting early stopping. The selected best epochs are 31, 123, 89, 39, and 78. Their median, 78 epochs, is the predetermined duration for subsequent refitting on all 1,493 training observations; no final refit has yet been performed.</w:t>
      </w:r>
    </w:p>
    <w:p>
      <w:r>
        <w:t>The reported validation scores serve both early stopping and candidate selection and therefore are not an independent generalization estimate. Fold variability is not a confidence interval, and one seed per fold does not characterize initialization sensitivity. Twenty trials provide limited coverage of the search space. The fixed log-target objective and log(1+y) selection metric emphasize errors differently. Repeated inputs with different outputs also limit how uniquely the measured features determine y; their origin has not been established.</w:t>
      </w:r>
    </w:p>
    <w:p>
      <w:pPr>
        <w:pStyle w:val="Heading1"/>
      </w:pPr>
      <w:r>
        <w:t>5. Final comparison: pending evaluation</w:t>
      </w:r>
    </w:p>
    <w:tbl>
      <w:tblPr>
        <w:tblStyle w:val="LightShading-Accent1"/>
        <w:tblW w:type="auto" w:w="0"/>
        <w:tblLook w:firstColumn="1" w:firstRow="1" w:lastColumn="0" w:lastRow="0" w:noHBand="0" w:noVBand="1" w:val="04A0"/>
      </w:tblPr>
      <w:tblGrid>
        <w:gridCol w:w="2074"/>
        <w:gridCol w:w="2074"/>
        <w:gridCol w:w="2074"/>
        <w:gridCol w:w="2074"/>
        <w:gridCol w:w="2074"/>
      </w:tblGrid>
      <w:tr>
        <w:tc>
          <w:tcPr>
            <w:tcW w:type="dxa" w:w="2074"/>
          </w:tcPr>
          <w:p>
            <w:pPr>
              <w:spacing w:after="60" w:before="0"/>
            </w:pPr>
            <w:r>
              <w:rPr>
                <w:sz w:val="18"/>
              </w:rPr>
              <w:t>Model</w:t>
            </w:r>
          </w:p>
        </w:tc>
        <w:tc>
          <w:tcPr>
            <w:tcW w:type="dxa" w:w="2074"/>
          </w:tcPr>
          <w:p>
            <w:pPr>
              <w:spacing w:after="60" w:before="0"/>
            </w:pPr>
            <w:r>
              <w:rPr>
                <w:sz w:val="18"/>
              </w:rPr>
              <w:t>Training R²</w:t>
            </w:r>
          </w:p>
        </w:tc>
        <w:tc>
          <w:tcPr>
            <w:tcW w:type="dxa" w:w="2074"/>
          </w:tcPr>
          <w:p>
            <w:pPr>
              <w:spacing w:after="60" w:before="0"/>
            </w:pPr>
            <w:r>
              <w:rPr>
                <w:sz w:val="18"/>
              </w:rPr>
              <w:t>Training RMSLE</w:t>
            </w:r>
          </w:p>
        </w:tc>
        <w:tc>
          <w:tcPr>
            <w:tcW w:type="dxa" w:w="2074"/>
          </w:tcPr>
          <w:p>
            <w:pPr>
              <w:spacing w:after="60" w:before="0"/>
            </w:pPr>
            <w:r>
              <w:rPr>
                <w:sz w:val="18"/>
              </w:rPr>
              <w:t>Testing R²</w:t>
            </w:r>
          </w:p>
        </w:tc>
        <w:tc>
          <w:tcPr>
            <w:tcW w:type="dxa" w:w="2074"/>
          </w:tcPr>
          <w:p>
            <w:pPr>
              <w:spacing w:after="60" w:before="0"/>
            </w:pPr>
            <w:r>
              <w:rPr>
                <w:sz w:val="18"/>
              </w:rPr>
              <w:t>Testing RMSLE</w:t>
            </w:r>
          </w:p>
        </w:tc>
      </w:tr>
      <w:tr>
        <w:tc>
          <w:tcPr>
            <w:tcW w:type="dxa" w:w="2074"/>
          </w:tcPr>
          <w:p>
            <w:pPr>
              <w:spacing w:after="60" w:before="0"/>
            </w:pPr>
            <w:r>
              <w:rPr>
                <w:sz w:val="18"/>
              </w:rPr>
              <w:t>Data-driven network</w:t>
            </w:r>
          </w:p>
        </w:tc>
        <w:tc>
          <w:tcPr>
            <w:tcW w:type="dxa" w:w="2074"/>
          </w:tcPr>
          <w:p>
            <w:pPr>
              <w:spacing w:after="60" w:before="0"/>
            </w:pPr>
            <w:r>
              <w:rPr>
                <w:sz w:val="18"/>
              </w:rPr>
              <w:t>Pending</w:t>
            </w:r>
          </w:p>
        </w:tc>
        <w:tc>
          <w:tcPr>
            <w:tcW w:type="dxa" w:w="2074"/>
          </w:tcPr>
          <w:p>
            <w:pPr>
              <w:spacing w:after="60" w:before="0"/>
            </w:pPr>
            <w:r>
              <w:rPr>
                <w:sz w:val="18"/>
              </w:rPr>
              <w:t>Pending</w:t>
            </w:r>
          </w:p>
        </w:tc>
        <w:tc>
          <w:tcPr>
            <w:tcW w:type="dxa" w:w="2074"/>
          </w:tcPr>
          <w:p>
            <w:pPr>
              <w:spacing w:after="60" w:before="0"/>
            </w:pPr>
            <w:r>
              <w:rPr>
                <w:sz w:val="18"/>
              </w:rPr>
              <w:t>Pending</w:t>
            </w:r>
          </w:p>
        </w:tc>
        <w:tc>
          <w:tcPr>
            <w:tcW w:type="dxa" w:w="2074"/>
          </w:tcPr>
          <w:p>
            <w:pPr>
              <w:spacing w:after="60" w:before="0"/>
            </w:pPr>
            <w:r>
              <w:rPr>
                <w:sz w:val="18"/>
              </w:rPr>
              <w:t>Pending</w:t>
            </w:r>
          </w:p>
        </w:tc>
      </w:tr>
      <w:tr>
        <w:tc>
          <w:tcPr>
            <w:tcW w:type="dxa" w:w="2074"/>
          </w:tcPr>
          <w:p>
            <w:pPr>
              <w:spacing w:after="60" w:before="0"/>
            </w:pPr>
            <w:r>
              <w:rPr>
                <w:sz w:val="18"/>
              </w:rPr>
              <w:t>Physics-informed network</w:t>
            </w:r>
          </w:p>
        </w:tc>
        <w:tc>
          <w:tcPr>
            <w:tcW w:type="dxa" w:w="2074"/>
          </w:tcPr>
          <w:p>
            <w:pPr>
              <w:spacing w:after="60" w:before="0"/>
            </w:pPr>
            <w:r>
              <w:rPr>
                <w:sz w:val="18"/>
              </w:rPr>
              <w:t>Pending</w:t>
            </w:r>
          </w:p>
        </w:tc>
        <w:tc>
          <w:tcPr>
            <w:tcW w:type="dxa" w:w="2074"/>
          </w:tcPr>
          <w:p>
            <w:pPr>
              <w:spacing w:after="60" w:before="0"/>
            </w:pPr>
            <w:r>
              <w:rPr>
                <w:sz w:val="18"/>
              </w:rPr>
              <w:t>Pending</w:t>
            </w:r>
          </w:p>
        </w:tc>
        <w:tc>
          <w:tcPr>
            <w:tcW w:type="dxa" w:w="2074"/>
          </w:tcPr>
          <w:p>
            <w:pPr>
              <w:spacing w:after="60" w:before="0"/>
            </w:pPr>
            <w:r>
              <w:rPr>
                <w:sz w:val="18"/>
              </w:rPr>
              <w:t>Pending</w:t>
            </w:r>
          </w:p>
        </w:tc>
        <w:tc>
          <w:tcPr>
            <w:tcW w:type="dxa" w:w="2074"/>
          </w:tcPr>
          <w:p>
            <w:pPr>
              <w:spacing w:after="60" w:before="0"/>
            </w:pPr>
            <w:r>
              <w:rPr>
                <w:sz w:val="18"/>
              </w:rPr>
              <w:t>Pending</w:t>
            </w:r>
          </w:p>
        </w:tc>
      </w:tr>
    </w:tbl>
    <w:p>
      <w:r>
        <w:t>The table is intentionally incomplete: cross-validation scores must not be substituted for finalized-model training or testing metrics. Final R² will be calculated from residuals on the original y scale. After physics-informed selection and full-training refitting, each finalized model will be evaluated on the untouched test set without adjustment. The observed-versus-predicted training/test panels and the physics-loss and exponent-evolution diagnostics remain outstanding.</w:t>
      </w:r>
    </w:p>
    <w:p>
      <w:pPr>
        <w:pStyle w:val="Heading1"/>
      </w:pPr>
      <w:r>
        <w:t>6. Reproducibility and next stage</w:t>
      </w:r>
    </w:p>
    <w:p>
      <w:r>
        <w:t>The Colab notebook and standalone Python scripts reproduce data preparation, saved grouped partitions, and the predefined search. Dependencies are pinned. Outputs include the sampled configurations and software manifest, all 100 fold scores and histories, fold checkpoints with scaler statistics, validation predictions linked to IDs, and the selected settings. configuration_results.csv and configuration_results.md are generated from measured fold results and record every candidate’s hyperparameters, five scores, mean, standard deviation, rank, and runtime. The original training source is archived to match the recorded source hash.</w:t>
      </w:r>
    </w:p>
    <w:p>
      <w:r>
        <w:t>Next, define a jointly trained positive sample-dependent exponent component and a physics-loss weight search, preserving the equation in original units. Use the same saved partitions and keep the test set excluded from model selection. This Word report is maintained separately from the analysis notebook. The final submission must be a PDF of at most three pages and will be revised when both models are complete.</w:t>
      </w:r>
    </w:p>
    <w:p>
      <w:pPr>
        <w:pStyle w:val="Heading1"/>
      </w:pPr>
      <w:r>
        <w:t>Assistance disclosure and source material</w:t>
      </w:r>
    </w:p>
    <w:p>
      <w:r>
        <w:t>Source material: the supplied Coding Challenge.pdf and Database.xls. OpenAI Codex assisted with data inspection, Python implementation, cross-validation execution, visualization, and report drafting. The author must review and understand the implementation, verify the findings, and disclose this assistance in the final submission. No external predictive baseline or physical interpretation has yet been validated.</w:t>
      </w:r>
    </w:p>
    <w:sectPr w:rsidR="00FC693F" w:rsidRPr="0006063C" w:rsidSect="00034616">
      <w:footerReference w:type="default" r:id="rId9"/>
      <w:pgSz w:w="12240" w:h="15840"/>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UTA Coding Challenge | Interim analysis, October 20, 2026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0"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b/>
      <w:bCs/>
      <w:color w:val="203E55"/>
      <w:sz w:val="24"/>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color w:val="203E55"/>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