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and Physics-Informed Neural Networks</w:t>
      </w:r>
    </w:p>
    <w:p>
      <w:pPr>
        <w:pStyle w:val="Subtitle"/>
      </w:pPr>
      <w:r>
        <w:t>Progress report • Data inspection and preprocessing • October 20, 2026</w:t>
      </w:r>
    </w:p>
    <w:p>
      <w:r>
        <w:t>Status: Initial data inspection is complete and the preprocessing script has run successfully. Grouped train/test and five-fold assignments are complete. Model configuration, training, tuning, evaluation, and figures are pending. This is a working Word draft, not the final submission report.</w:t>
      </w:r>
    </w:p>
    <w:p>
      <w:pPr>
        <w:pStyle w:val="Heading1"/>
      </w:pPr>
      <w:r>
        <w:t>1. Objective and supplied data</w:t>
      </w:r>
    </w:p>
    <w:p>
      <w:r>
        <w:t>The challenge compares a feedforward neural network using nine input features with a physics-informed network incorporating y = x₂² / (72.2 × x₁^(−m)). The positive exponent m must be predicted for each sample from its input features and learned jointly during training. No neural network or exponent mapping has been trained at this stage.</w:t>
      </w:r>
    </w:p>
    <w:p>
      <w:r>
        <w:t>Database.xls contains one worksheet, “sorted all”. It uses a two-row header: merged section labels in the first row and feature names in the second. Loading with the second row as the header yields 1,865 observations, nine predictors (x1–x9), and one target (y), plus a sample identifier (ID). ID is retained for traceability and excluded from model inputs.</w:t>
      </w:r>
    </w:p>
    <w:p>
      <w:pPr>
        <w:pStyle w:val="Heading1"/>
      </w:pPr>
      <w:r>
        <w:t>2. Data quality findings</w:t>
      </w:r>
    </w:p>
    <w:tbl>
      <w:tblPr>
        <w:tblStyle w:val="LightShading-Accent1"/>
        <w:tblW w:type="auto" w:w="0"/>
        <w:tblLook w:firstColumn="1" w:firstRow="1" w:lastColumn="0" w:lastRow="0" w:noHBand="0" w:noVBand="1" w:val="04A0"/>
      </w:tblPr>
      <w:tblGrid>
        <w:gridCol w:w="5040"/>
        <w:gridCol w:w="5040"/>
      </w:tblGrid>
      <w:tr>
        <w:tc>
          <w:tcPr>
            <w:tcW w:type="dxa" w:w="5040"/>
          </w:tcPr>
          <w:p>
            <w:r>
              <w:t>Check</w:t>
            </w:r>
          </w:p>
        </w:tc>
        <w:tc>
          <w:tcPr>
            <w:tcW w:type="dxa" w:w="5040"/>
          </w:tcPr>
          <w:p>
            <w:r>
              <w:t>Observed result</w:t>
            </w:r>
          </w:p>
        </w:tc>
      </w:tr>
      <w:tr>
        <w:tc>
          <w:tcPr>
            <w:tcW w:type="dxa" w:w="5040"/>
          </w:tcPr>
          <w:p>
            <w:r>
              <w:t>Observations</w:t>
            </w:r>
          </w:p>
        </w:tc>
        <w:tc>
          <w:tcPr>
            <w:tcW w:type="dxa" w:w="5040"/>
          </w:tcPr>
          <w:p>
            <w:r>
              <w:t>1,865</w:t>
            </w:r>
          </w:p>
        </w:tc>
      </w:tr>
      <w:tr>
        <w:tc>
          <w:tcPr>
            <w:tcW w:type="dxa" w:w="5040"/>
          </w:tcPr>
          <w:p>
            <w:r>
              <w:t>Input features</w:t>
            </w:r>
          </w:p>
        </w:tc>
        <w:tc>
          <w:tcPr>
            <w:tcW w:type="dxa" w:w="5040"/>
          </w:tcPr>
          <w:p>
            <w:r>
              <w:t>9: x1–x9</w:t>
            </w:r>
          </w:p>
        </w:tc>
      </w:tr>
      <w:tr>
        <w:tc>
          <w:tcPr>
            <w:tcW w:type="dxa" w:w="5040"/>
          </w:tcPr>
          <w:p>
            <w:r>
              <w:t>Missing / nonfinite cells</w:t>
            </w:r>
          </w:p>
        </w:tc>
        <w:tc>
          <w:tcPr>
            <w:tcW w:type="dxa" w:w="5040"/>
          </w:tcPr>
          <w:p>
            <w:r>
              <w:t>0 / 0</w:t>
            </w:r>
          </w:p>
        </w:tc>
      </w:tr>
      <w:tr>
        <w:tc>
          <w:tcPr>
            <w:tcW w:type="dxa" w:w="5040"/>
          </w:tcPr>
          <w:p>
            <w:r>
              <w:t>Duplicate sample IDs</w:t>
            </w:r>
          </w:p>
        </w:tc>
        <w:tc>
          <w:tcPr>
            <w:tcW w:type="dxa" w:w="5040"/>
          </w:tcPr>
          <w:p>
            <w:r>
              <w:t>0</w:t>
            </w:r>
          </w:p>
        </w:tc>
      </w:tr>
      <w:tr>
        <w:tc>
          <w:tcPr>
            <w:tcW w:type="dxa" w:w="5040"/>
          </w:tcPr>
          <w:p>
            <w:r>
              <w:t>Distinct predictor combinations</w:t>
            </w:r>
          </w:p>
        </w:tc>
        <w:tc>
          <w:tcPr>
            <w:tcW w:type="dxa" w:w="5040"/>
          </w:tcPr>
          <w:p>
            <w:r>
              <w:t>1,859</w:t>
            </w:r>
          </w:p>
        </w:tc>
      </w:tr>
      <w:tr>
        <w:tc>
          <w:tcPr>
            <w:tcW w:type="dxa" w:w="5040"/>
          </w:tcPr>
          <w:p>
            <w:r>
              <w:t>Repeated predictor combinations</w:t>
            </w:r>
          </w:p>
        </w:tc>
        <w:tc>
          <w:tcPr>
            <w:tcW w:type="dxa" w:w="5040"/>
          </w:tcPr>
          <w:p>
            <w:r>
              <w:t>6 groups, each containing 2 rows</w:t>
            </w:r>
          </w:p>
        </w:tc>
      </w:tr>
      <w:tr>
        <w:tc>
          <w:tcPr>
            <w:tcW w:type="dxa" w:w="5040"/>
          </w:tcPr>
          <w:p>
            <w:r>
              <w:t>Rows in repeated predictor groups</w:t>
            </w:r>
          </w:p>
        </w:tc>
        <w:tc>
          <w:tcPr>
            <w:tcW w:type="dxa" w:w="5040"/>
          </w:tcPr>
          <w:p>
            <w:r>
              <w:t>12 (6 additional occurrences)</w:t>
            </w:r>
          </w:p>
        </w:tc>
      </w:tr>
      <w:tr>
        <w:tc>
          <w:tcPr>
            <w:tcW w:type="dxa" w:w="5040"/>
          </w:tcPr>
          <w:p>
            <w:r>
              <w:t>Repeated groups with different y values</w:t>
            </w:r>
          </w:p>
        </w:tc>
        <w:tc>
          <w:tcPr>
            <w:tcW w:type="dxa" w:w="5040"/>
          </w:tcPr>
          <w:p>
            <w:r>
              <w:t>4</w:t>
            </w:r>
          </w:p>
        </w:tc>
      </w:tr>
      <w:tr>
        <w:tc>
          <w:tcPr>
            <w:tcW w:type="dxa" w:w="5040"/>
          </w:tcPr>
          <w:p>
            <w:r>
              <w:t>Repeated groups with identical y values</w:t>
            </w:r>
          </w:p>
        </w:tc>
        <w:tc>
          <w:tcPr>
            <w:tcW w:type="dxa" w:w="5040"/>
          </w:tcPr>
          <w:p>
            <w:r>
              <w:t>2</w:t>
            </w:r>
          </w:p>
        </w:tc>
      </w:tr>
      <w:tr>
        <w:tc>
          <w:tcPr>
            <w:tcW w:type="dxa" w:w="5040"/>
          </w:tcPr>
          <w:p>
            <w:r>
              <w:t>Rows removed</w:t>
            </w:r>
          </w:p>
        </w:tc>
        <w:tc>
          <w:tcPr>
            <w:tcW w:type="dxa" w:w="5040"/>
          </w:tcPr>
          <w:p>
            <w:r>
              <w:t>0</w:t>
            </w:r>
          </w:p>
        </w:tc>
      </w:tr>
    </w:tbl>
    <w:p>
      <w:r>
        <w:t>Repeated groups are defined by exact equality across all nine predictors, without using y. The two records with identical inputs and target are counted as additional occurrences after the first record; all observations are retained. Different targets for matching inputs indicate that these inputs alone do not uniquely determine the observed target. Their cause has not been established.</w:t>
      </w:r>
    </w:p>
    <w:p>
      <w:pPr>
        <w:pStyle w:val="Heading1"/>
      </w:pPr>
      <w:r>
        <w:t>3. Numerical ranges</w:t>
      </w:r>
    </w:p>
    <w:p>
      <w:r>
        <w:t>Observed ranges are x1: 0.2094–0.8100; x2: approximately 0.083098–12,442.844754; and y: approximately 0.000075–46.863905. These three variables are strictly positive. Features x3, x7, and x8 contain zeros. The broad scales support considering input standardization and a logarithmic target representation, without taking logarithms of every input.</w:t>
      </w:r>
    </w:p>
    <w:p>
      <w:r>
        <w:br w:type="page"/>
      </w:r>
    </w:p>
    <w:p>
      <w:pPr>
        <w:pStyle w:val="Heading1"/>
      </w:pPr>
      <w:r>
        <w:t>4. Preprocessing implemented</w:t>
      </w:r>
    </w:p>
    <w:p>
      <w:pPr>
        <w:pStyle w:val="ListBullet"/>
      </w:pPr>
      <w:r>
        <w:t>Workbook validation: Require the expected feature columns, numeric finite values, unique integer IDs, and strictly positive x1, x2, and y. Invalid data cause an explicit error rather than silent imputation, clipping, or deletion.</w:t>
      </w:r>
    </w:p>
    <w:p>
      <w:pPr>
        <w:pStyle w:val="ListBullet"/>
      </w:pPr>
      <w:r>
        <w:t>Observation retention: Keep all rows, including repeated records and extreme values. No observations have been removed because they may be difficult to predict.</w:t>
      </w:r>
    </w:p>
    <w:p>
      <w:pPr>
        <w:pStyle w:val="ListBullet"/>
      </w:pPr>
      <w:r>
        <w:t>Grouping metadata: Assign a predictor_group number to exact matches across x1–x9. This number is only for keeping matching inputs together during later partitioning; it is never a neural-network input.</w:t>
      </w:r>
    </w:p>
    <w:p>
      <w:pPr>
        <w:pStyle w:val="ListBullet"/>
      </w:pPr>
      <w:r>
        <w:t>Input scaling: A FoldPreprocessor class provides standardization of the nine raw predictors. Each mean and standard deviation must be learned from the relevant training portion only. The same fitted transform will then be applied to validation data. No scaler has been fitted yet; the grouped partitions are now saved.</w:t>
      </w:r>
    </w:p>
    <w:p>
      <w:pPr>
        <w:pStyle w:val="ListBullet"/>
      </w:pPr>
      <w:r>
        <w:t>Target representation: The initial implementation uses log10(y), with inverse transformation 10 raised to the predicted value. This supports positive predictions; numerical overflow, underflow, or invalid outputs are treated as errors rather than silently clipped. This is an initial modeling choice, whose suitability has not yet been evaluated.</w:t>
      </w:r>
    </w:p>
    <w:p>
      <w:pPr>
        <w:pStyle w:val="ListBullet"/>
      </w:pPr>
      <w:r>
        <w:t>Physical units: Original feature values remain available. The physical equation must use original x1 and x2 values, rather than standardized inputs. The logarithmic target transform is separate from the required base-10 RMSLE metric, which will be implemented explicitly during evaluation.</w:t>
      </w:r>
    </w:p>
    <w:p>
      <w:pPr>
        <w:pStyle w:val="Heading1"/>
      </w:pPr>
      <w:r>
        <w:t>5. Reproducibility and current outputs</w:t>
      </w:r>
    </w:p>
    <w:p>
      <w:r>
        <w:t>The repository contains preprocess.py, a pinned requirements.txt, and reproduction instructions in README.md. The preprocessing command has been executed successfully against the supplied workbook. Generated outputs include validated_data.csv, descriptive_statistics.csv, repeated_predictors.csv, and data_audit.json under outputs/preprocessing/. Original observations and IDs are preserved in the validated output.</w:t>
      </w:r>
    </w:p>
    <w:p>
      <w:r>
        <w:t>Command: python preprocess.py /path/to/Database.xls</w:t>
      </w:r>
    </w:p>
    <w:p>
      <w:pPr>
        <w:pStyle w:val="Heading1"/>
      </w:pPr>
      <w:r>
        <w:t>6. Planned next steps and limitations</w:t>
      </w:r>
    </w:p>
    <w:p>
      <w:r>
        <w:t>A grouped split using seed 42 assigns 1,493 samples (80.05%) to training and 372 (19.95%) to testing. Five training folds contain 298, 298, 300, 300, and 297 validation samples. GroupShuffleSplit uses 20% of predictor groups for testing; shuffled GroupKFold creates training folds. Neither uses targets. Complete sample coverage, no group overlap, and deterministic regeneration were checked. Assignments and a summary are saved under outputs/partitions/. Reuse these assignments for both models. Next, define the data-driven network search space and budget. Fit preprocessing separately within each fold, use validation data for early stopping and selection, and keep test data out of all tuning decisions.</w:t>
      </w:r>
    </w:p>
    <w:p>
      <w:r>
        <w:t>Model architectures, search budgets, final training durations, predictive metrics, learned exponent summaries, and required figures are not yet available. No claims about model accuracy or physical agreement can be made. The final submission requires a PDF of at most three pages; this Word draft will be revised and condensed as results become available.</w:t>
      </w:r>
    </w:p>
    <w:p>
      <w:pPr>
        <w:pStyle w:val="Heading1"/>
      </w:pPr>
      <w:r>
        <w:t>7. Assistance disclosure</w:t>
      </w:r>
    </w:p>
    <w:p>
      <w:r>
        <w:t>OpenAI Codex assisted with reading the challenge, inspecting the workbook, implementing preprocessing, and drafting this report. The submitter should review, understand, and verify the methods and disclose this assistance in the final submission.</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UTA Coding Challenge | Working progress report | Preprocessing stage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4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4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