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Comparing Data-Driven and Physics-Informed Neural Networks</w:t>
      </w:r>
    </w:p>
    <w:p>
      <w:r>
        <w:t>Main finding: the physics-informed model had slightly lower test error. Both models have limited original-scale accuracy; this comparison does not isolate the physics penalty’s effect or validate the physical law.</w:t>
      </w:r>
    </w:p>
    <w:p>
      <w:pPr>
        <w:pStyle w:val="Heading1"/>
      </w:pPr>
      <w:r>
        <w:t>1. Data and evaluation design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280"/>
      </w:tblGrid>
      <w:tr>
        <w:tc>
          <w:tcPr>
            <w:tcW w:type="dxa" w:w="2088"/>
          </w:tcPr>
          <w:p>
            <w:pPr>
              <w:spacing w:after="60" w:before="20"/>
            </w:pPr>
            <w:r>
              <w:rPr>
                <w:sz w:val="18"/>
              </w:rPr>
              <w:t>Item</w:t>
            </w:r>
          </w:p>
        </w:tc>
        <w:tc>
          <w:tcPr>
            <w:tcW w:type="dxa" w:w="8280"/>
          </w:tcPr>
          <w:p>
            <w:pPr>
              <w:spacing w:after="60" w:before="20"/>
            </w:pPr>
            <w:r>
              <w:rPr>
                <w:sz w:val="18"/>
              </w:rPr>
              <w:t>What we did</w:t>
            </w:r>
          </w:p>
        </w:tc>
      </w:tr>
      <w:tr>
        <w:tc>
          <w:tcPr>
            <w:tcW w:type="dxa" w:w="2088"/>
          </w:tcPr>
          <w:p>
            <w:pPr>
              <w:spacing w:after="60" w:before="20"/>
            </w:pPr>
            <w:r>
              <w:rPr>
                <w:sz w:val="18"/>
              </w:rPr>
              <w:t>Dataset</w:t>
            </w:r>
          </w:p>
        </w:tc>
        <w:tc>
          <w:tcPr>
            <w:tcW w:type="dxa" w:w="8280"/>
          </w:tcPr>
          <w:p>
            <w:pPr>
              <w:spacing w:after="60" w:before="20"/>
            </w:pPr>
            <w:r>
              <w:rPr>
                <w:sz w:val="18"/>
              </w:rPr>
              <w:t>1,865 observations; both prediction networks use all nine features, x1–x9. ID is only an identifier.</w:t>
            </w:r>
          </w:p>
        </w:tc>
      </w:tr>
      <w:tr>
        <w:tc>
          <w:tcPr>
            <w:tcW w:type="dxa" w:w="2088"/>
          </w:tcPr>
          <w:p>
            <w:pPr>
              <w:spacing w:after="60" w:before="20"/>
            </w:pPr>
            <w:r>
              <w:rPr>
                <w:sz w:val="18"/>
              </w:rPr>
              <w:t>Data quality</w:t>
            </w:r>
          </w:p>
        </w:tc>
        <w:tc>
          <w:tcPr>
            <w:tcW w:type="dxa" w:w="8280"/>
          </w:tcPr>
          <w:p>
            <w:pPr>
              <w:spacing w:after="60" w:before="20"/>
            </w:pPr>
            <w:r>
              <w:rPr>
                <w:sz w:val="18"/>
              </w:rPr>
              <w:t>No missing/nonfinite values or duplicate IDs. All observations, including extreme values, were retained.</w:t>
            </w:r>
          </w:p>
        </w:tc>
      </w:tr>
      <w:tr>
        <w:tc>
          <w:tcPr>
            <w:tcW w:type="dxa" w:w="2088"/>
          </w:tcPr>
          <w:p>
            <w:pPr>
              <w:spacing w:after="60" w:before="20"/>
            </w:pPr>
            <w:r>
              <w:rPr>
                <w:sz w:val="18"/>
              </w:rPr>
              <w:t>Repeated inputs</w:t>
            </w:r>
          </w:p>
        </w:tc>
        <w:tc>
          <w:tcPr>
            <w:tcW w:type="dxa" w:w="8280"/>
          </w:tcPr>
          <w:p>
            <w:pPr>
              <w:spacing w:after="60" w:before="20"/>
            </w:pPr>
            <w:r>
              <w:rPr>
                <w:sz w:val="18"/>
              </w:rPr>
              <w:t>Six matching-input pairs: two share y, four have different y. All rows were kept; each pair stays together in every split.</w:t>
            </w:r>
          </w:p>
        </w:tc>
      </w:tr>
      <w:tr>
        <w:tc>
          <w:tcPr>
            <w:tcW w:type="dxa" w:w="2088"/>
          </w:tcPr>
          <w:p>
            <w:pPr>
              <w:spacing w:after="60" w:before="20"/>
            </w:pPr>
            <w:r>
              <w:rPr>
                <w:sz w:val="18"/>
              </w:rPr>
              <w:t>Holdout split</w:t>
            </w:r>
          </w:p>
        </w:tc>
        <w:tc>
          <w:tcPr>
            <w:tcW w:type="dxa" w:w="8280"/>
          </w:tcPr>
          <w:p>
            <w:pPr>
              <w:spacing w:after="60" w:before="20"/>
            </w:pPr>
            <w:r>
              <w:rPr>
                <w:sz w:val="18"/>
              </w:rPr>
              <w:t>Seed 42; 1,493 training / 372 testing rows (80.05% / 19.95%). Grouping explains the small departure from 80/20.</w:t>
            </w:r>
          </w:p>
        </w:tc>
      </w:tr>
      <w:tr>
        <w:tc>
          <w:tcPr>
            <w:tcW w:type="dxa" w:w="2088"/>
          </w:tcPr>
          <w:p>
            <w:pPr>
              <w:spacing w:after="60" w:before="2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8280"/>
          </w:tcPr>
          <w:p>
            <w:pPr>
              <w:spacing w:after="60" w:before="20"/>
            </w:pPr>
            <w:r>
              <w:rPr>
                <w:sz w:val="18"/>
              </w:rPr>
              <w:t>The same five grouped folds for both models; validation sizes 298, 298, 300, 300, 297. Preprocessing is fitted on each fitting fold only; the test set is excluded from tuning.</w:t>
            </w:r>
          </w:p>
        </w:tc>
      </w:tr>
    </w:tbl>
    <w:p>
      <w:r>
        <w:t>Preparation: compare raw inputs with log10(x1, x2, x4, x5, x6), then standardize. These inputs are positive; zero-valued features are not logged. The target is log10(y), reflecting its wide range (about 0.000075–46.86). Outputs are converted back with 10^z, ensuring positive predictions. Invalid numerical outputs raise errors; nothing is silently clipped.</w:t>
      </w:r>
    </w:p>
    <w:p>
      <w:pPr>
        <w:pStyle w:val="Heading1"/>
      </w:pPr>
      <w:r>
        <w:t>2. Search choices and selected models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4032"/>
        <w:gridCol w:w="4032"/>
      </w:tblGrid>
      <w:tr>
        <w:tc>
          <w:tcPr>
            <w:tcW w:type="dxa" w:w="2304"/>
          </w:tcPr>
          <w:p>
            <w:pPr>
              <w:spacing w:after="60" w:before="20"/>
            </w:pPr>
            <w:r>
              <w:rPr>
                <w:sz w:val="18"/>
              </w:rPr>
              <w:t>Search choice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Candidate values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Reason</w:t>
            </w:r>
          </w:p>
        </w:tc>
      </w:tr>
      <w:tr>
        <w:tc>
          <w:tcPr>
            <w:tcW w:type="dxa" w:w="2304"/>
          </w:tcPr>
          <w:p>
            <w:pPr>
              <w:spacing w:after="60" w:before="20"/>
            </w:pPr>
            <w:r>
              <w:rPr>
                <w:sz w:val="18"/>
              </w:rPr>
              <w:t>Prediction network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1–3 layers; width 16/32/64; ReLU/tanh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Compare modest capacities for nine inputs.</w:t>
            </w:r>
          </w:p>
        </w:tc>
      </w:tr>
      <w:tr>
        <w:tc>
          <w:tcPr>
            <w:tcW w:type="dxa" w:w="2304"/>
          </w:tcPr>
          <w:p>
            <w:pPr>
              <w:spacing w:after="60" w:before="20"/>
            </w:pPr>
            <w:r>
              <w:rPr>
                <w:sz w:val="18"/>
              </w:rPr>
              <w:t>Adam learning rate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0.0003 / 0.001 / 0.003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Explore slower and faster updates.</w:t>
            </w:r>
          </w:p>
        </w:tc>
      </w:tr>
      <w:tr>
        <w:tc>
          <w:tcPr>
            <w:tcW w:type="dxa" w:w="2304"/>
          </w:tcPr>
          <w:p>
            <w:pPr>
              <w:spacing w:after="60" w:before="20"/>
            </w:pPr>
            <w:r>
              <w:rPr>
                <w:sz w:val="18"/>
              </w:rPr>
              <w:t>Batch size; L2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32/64/128; 0/1e−5/1e−4/1e−3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Balance update frequency and overfitting.</w:t>
            </w:r>
          </w:p>
        </w:tc>
      </w:tr>
      <w:tr>
        <w:tc>
          <w:tcPr>
            <w:tcW w:type="dxa" w:w="2304"/>
          </w:tcPr>
          <w:p>
            <w:pPr>
              <w:spacing w:after="60" w:before="20"/>
            </w:pPr>
            <w:r>
              <w:rPr>
                <w:sz w:val="18"/>
              </w:rPr>
              <w:t>Input representation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Selected logs off/on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Test compression, especially for x2 and x4.</w:t>
            </w:r>
          </w:p>
        </w:tc>
      </w:tr>
      <w:tr>
        <w:tc>
          <w:tcPr>
            <w:tcW w:type="dxa" w:w="2304"/>
          </w:tcPr>
          <w:p>
            <w:pPr>
              <w:spacing w:after="60" w:before="20"/>
            </w:pPr>
            <w:r>
              <w:rPr>
                <w:sz w:val="18"/>
              </w:rPr>
              <w:t>Exponent network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Tanh: (8), (16), (16,8); inputs x1–x2/all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Limit flexibility; test additional inputs.</w:t>
            </w:r>
          </w:p>
        </w:tc>
      </w:tr>
      <w:tr>
        <w:tc>
          <w:tcPr>
            <w:tcW w:type="dxa" w:w="2304"/>
          </w:tcPr>
          <w:p>
            <w:pPr>
              <w:spacing w:after="60" w:before="20"/>
            </w:pPr>
            <w:r>
              <w:rPr>
                <w:sz w:val="18"/>
              </w:rPr>
              <w:t>Physics weight λ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0.01 / 0.1 / 1 / 10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Compare weak and strong equation penalties.</w:t>
            </w:r>
          </w:p>
        </w:tc>
      </w:tr>
    </w:tbl>
    <w:p>
      <w:r>
        <w:t>Budget: seed-42 random sampling without replacement; 20/1,296 data-driven and 20/72 physics candidates, each over five folds (200 fits). Physics keeps the selected prediction backbone, batch size, L2, and input transform fixed. Choose the lowest mean validation RMSLE. Early stopping: at most 1,000 epochs; patience 50; minimum improvement 1e−5. Retain the lowest-score checkpoint. L2 penalizes weights, not biases; no separate weight decay is used.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4032"/>
        <w:gridCol w:w="4032"/>
      </w:tblGrid>
      <w:tr>
        <w:tc>
          <w:tcPr>
            <w:tcW w:type="dxa" w:w="2304"/>
          </w:tcPr>
          <w:p>
            <w:pPr>
              <w:spacing w:after="60" w:before="20"/>
            </w:pPr>
            <w:r>
              <w:rPr>
                <w:sz w:val="18"/>
              </w:rPr>
              <w:t>Selected setting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Data-driven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Physics-informed</w:t>
            </w:r>
          </w:p>
        </w:tc>
      </w:tr>
      <w:tr>
        <w:tc>
          <w:tcPr>
            <w:tcW w:type="dxa" w:w="2304"/>
          </w:tcPr>
          <w:p>
            <w:pPr>
              <w:spacing w:after="60" w:before="20"/>
            </w:pPr>
            <w:r>
              <w:rPr>
                <w:sz w:val="18"/>
              </w:rPr>
              <w:t>Prediction network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16 → 16 → 16, ReLU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Same prediction backbone</w:t>
            </w:r>
          </w:p>
        </w:tc>
      </w:tr>
      <w:tr>
        <w:tc>
          <w:tcPr>
            <w:tcW w:type="dxa" w:w="2304"/>
          </w:tcPr>
          <w:p>
            <w:pPr>
              <w:spacing w:after="60" w:before="20"/>
            </w:pPr>
            <w:r>
              <w:rPr>
                <w:sz w:val="18"/>
              </w:rPr>
              <w:t>Rate / batch / L2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0.003 / 64 / 0.001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0.003 / 64 / 0.001</w:t>
            </w:r>
          </w:p>
        </w:tc>
      </w:tr>
      <w:tr>
        <w:tc>
          <w:tcPr>
            <w:tcW w:type="dxa" w:w="2304"/>
          </w:tcPr>
          <w:p>
            <w:pPr>
              <w:spacing w:after="60" w:before="20"/>
            </w:pPr>
            <w:r>
              <w:rPr>
                <w:sz w:val="18"/>
              </w:rPr>
              <w:t>Transforms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Selected logs + standardization; log10(y)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304"/>
          </w:tcPr>
          <w:p>
            <w:pPr>
              <w:spacing w:after="60" w:before="20"/>
            </w:pPr>
            <w:r>
              <w:rPr>
                <w:sz w:val="18"/>
              </w:rPr>
              <w:t>Exponent / physics weight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Not applicable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One 16-neuron tanh layer; x1–x2; λ=0.01</w:t>
            </w:r>
          </w:p>
        </w:tc>
      </w:tr>
    </w:tbl>
    <w:p>
      <w:pPr>
        <w:pStyle w:val="Heading1"/>
      </w:pPr>
      <w:r>
        <w:t>3. How physics enters training</w:t>
      </w:r>
    </w:p>
    <w:p>
      <w:r>
        <w:t>The equation is y_phys = x2² / [72.2 × x1^(−m)]. A second network learns a separate m for each sample, jointly with the prediction network. Softplus enforces m&gt;0. At inference, m uses features alone, never observed y. Features x3–x9 influence the prediction branch.</w:t>
      </w:r>
    </w:p>
    <w:p>
      <w:r>
        <w:t>Using original units: z_phys = 2 log10(x2) − log10(72.2) + m log10(x1), where z = log10(predicted y). Minimize data MSE in log10(y) + λ × mean[(z − z_phys)²] + L2. Equation equivalence and gradient flow to both networks and m were checked. Exponents are learned during training, not prescribed or fitted afterward.</w:t>
      </w:r>
    </w:p>
    <w:p>
      <w:pPr>
        <w:pStyle w:val="Heading1"/>
        <w:pageBreakBefore/>
      </w:pPr>
      <w:r>
        <w:t>4. Training and validation evidence</w:t>
      </w:r>
    </w:p>
    <w:p>
      <w:r>
        <w:drawing>
          <wp:inline xmlns:a="http://schemas.openxmlformats.org/drawingml/2006/main" xmlns:pic="http://schemas.openxmlformats.org/drawingml/2006/picture">
            <wp:extent cx="6355080" cy="2219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validation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219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7"/>
        </w:rPr>
        <w:t>Figure 1. Training and validation RMSLE for preselected fold 1 of each selected model. Dashed lines mark retained epochs. Curves stop at actual early stopping. All five folds are included in supporting outputs; test error is never plotted against epoch.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4032"/>
        <w:gridCol w:w="4032"/>
      </w:tblGrid>
      <w:tr>
        <w:tc>
          <w:tcPr>
            <w:tcW w:type="dxa" w:w="2304"/>
          </w:tcPr>
          <w:p>
            <w:pPr>
              <w:spacing w:after="60" w:before="20"/>
            </w:pPr>
            <w:r>
              <w:rPr>
                <w:sz w:val="18"/>
              </w:rPr>
              <w:t>Selected model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Validation RMSLE mean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Fold standard deviation</w:t>
            </w:r>
          </w:p>
        </w:tc>
      </w:tr>
      <w:tr>
        <w:tc>
          <w:tcPr>
            <w:tcW w:type="dxa" w:w="2304"/>
          </w:tcPr>
          <w:p>
            <w:pPr>
              <w:spacing w:after="60" w:before="20"/>
            </w:pPr>
            <w:r>
              <w:rPr>
                <w:sz w:val="18"/>
              </w:rPr>
              <w:t>Data-driven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0.299685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0.016474</w:t>
            </w:r>
          </w:p>
        </w:tc>
      </w:tr>
      <w:tr>
        <w:tc>
          <w:tcPr>
            <w:tcW w:type="dxa" w:w="2304"/>
          </w:tcPr>
          <w:p>
            <w:pPr>
              <w:spacing w:after="60" w:before="20"/>
            </w:pPr>
            <w:r>
              <w:rPr>
                <w:sz w:val="18"/>
              </w:rPr>
              <w:t>Physics-informed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0.298574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0.015089</w:t>
            </w:r>
          </w:p>
        </w:tc>
      </w:tr>
    </w:tbl>
    <w:p>
      <w:r>
        <w:t>Each summary uses five folds; SD uses ddof=1. These scores were used for selection and are not independent test estimates. Fold seeds are 42 + fold number.</w:t>
      </w:r>
    </w:p>
    <w:p>
      <w:pPr>
        <w:pStyle w:val="Heading1"/>
      </w:pPr>
      <w:r>
        <w:t>5. What the exponent learned</w:t>
      </w:r>
    </w:p>
    <w:p>
      <w:r>
        <w:drawing>
          <wp:inline xmlns:a="http://schemas.openxmlformats.org/drawingml/2006/main" xmlns:pic="http://schemas.openxmlformats.org/drawingml/2006/picture">
            <wp:extent cx="6355080" cy="1765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training_diagnos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76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7"/>
        </w:rPr>
        <w:t>Figure 2. Physics-informed fold 1: separate data/physics losses and m evolution on fixed fitting-fold inputs. The shaded band is the sample 10th–90th percentile, not uncertainty. Dashed lines mark the retained epoch. Final-refit diagnostics are also saved.</w:t>
      </w:r>
    </w:p>
    <w:p>
      <w:r>
        <w:t>Because m varies by sample, report its final distribution rather than one global value. Each sample’s learned m is saved with its ID; held-out values are generated from inputs alone.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Final model inputs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Mean m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Median m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SD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10th–90th percentile</w:t>
            </w:r>
          </w:p>
        </w:tc>
      </w:tr>
      <w:tr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Training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2.843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2.718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1.723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0.649–5.296</w:t>
            </w:r>
          </w:p>
        </w:tc>
      </w:tr>
      <w:tr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Testing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2.959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2.958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1.652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0.768–5.419</w:t>
            </w:r>
          </w:p>
        </w:tc>
      </w:tr>
    </w:tbl>
    <w:p>
      <w:pPr>
        <w:pStyle w:val="Heading1"/>
      </w:pPr>
      <w:r>
        <w:t>6. Runtime and final refitting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4032"/>
        <w:gridCol w:w="4032"/>
      </w:tblGrid>
      <w:tr>
        <w:tc>
          <w:tcPr>
            <w:tcW w:type="dxa" w:w="2304"/>
          </w:tcPr>
          <w:p>
            <w:pPr>
              <w:spacing w:after="60" w:before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100 CV fits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Full-training refit</w:t>
            </w:r>
          </w:p>
        </w:tc>
      </w:tr>
      <w:tr>
        <w:tc>
          <w:tcPr>
            <w:tcW w:type="dxa" w:w="2304"/>
          </w:tcPr>
          <w:p>
            <w:pPr>
              <w:spacing w:after="60" w:before="20"/>
            </w:pPr>
            <w:r>
              <w:rPr>
                <w:sz w:val="18"/>
              </w:rPr>
              <w:t>Data-driven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293.20 s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78 epochs; 1.29 s</w:t>
            </w:r>
          </w:p>
        </w:tc>
      </w:tr>
      <w:tr>
        <w:tc>
          <w:tcPr>
            <w:tcW w:type="dxa" w:w="2304"/>
          </w:tcPr>
          <w:p>
            <w:pPr>
              <w:spacing w:after="60" w:before="20"/>
            </w:pPr>
            <w:r>
              <w:rPr>
                <w:sz w:val="18"/>
              </w:rPr>
              <w:t>Physics-informed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546.87 s</w:t>
            </w:r>
          </w:p>
        </w:tc>
        <w:tc>
          <w:tcPr>
            <w:tcW w:type="dxa" w:w="4032"/>
          </w:tcPr>
          <w:p>
            <w:pPr>
              <w:spacing w:after="60" w:before="20"/>
            </w:pPr>
            <w:r>
              <w:rPr>
                <w:sz w:val="18"/>
              </w:rPr>
              <w:t>116 epochs; 2.67 s</w:t>
            </w:r>
          </w:p>
        </w:tc>
      </w:tr>
    </w:tbl>
    <w:p>
      <w:r>
        <w:t>About 14 minutes of CV training on one CPU thread, using deterministic algorithms; installation and smoke tests excluded. One nonselected physics-informed fold reached 1,000 epochs; selected folds did not. Refit durations are the median selected CV best epochs. Fresh models and scalers use all 1,493 training rows, seed 42, with no validation/test monitoring. Both models were fixed before testing and were not adjusted afterward.</w:t>
      </w:r>
    </w:p>
    <w:p>
      <w:pPr>
        <w:pStyle w:val="Heading1"/>
        <w:pageBreakBefore/>
      </w:pPr>
      <w:r>
        <w:t>7. Final predictive results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Training R²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Training RMSLE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Testing R²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Testing RMSLE</w:t>
            </w:r>
          </w:p>
        </w:tc>
      </w:tr>
      <w:tr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Data-driven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0.0896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0.2808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0.1803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0.2855</w:t>
            </w:r>
          </w:p>
        </w:tc>
      </w:tr>
      <w:tr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Physics-informed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0.1886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0.2725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0.2082</w:t>
            </w:r>
          </w:p>
        </w:tc>
        <w:tc>
          <w:tcPr>
            <w:tcW w:type="dxa" w:w="2074"/>
          </w:tcPr>
          <w:p>
            <w:pPr>
              <w:spacing w:after="60" w:before="20"/>
            </w:pPr>
            <w:r>
              <w:rPr>
                <w:sz w:val="18"/>
              </w:rPr>
              <w:t>0.2810</w:t>
            </w:r>
          </w:p>
        </w:tc>
      </w:tr>
    </w:tbl>
    <w:p>
      <w:r>
        <w:t>Higher R² and lower RMSLE are better. R² = 1 − SSE/SST uses original-scale residuals, not squared correlation. Base-10 RMSLE = √mean[(log10(1+ŷ) − log10(1+y))²]. This +1 convention differs from the log-target training loss.</w:t>
      </w:r>
    </w:p>
    <w:p>
      <w:r>
        <w:drawing>
          <wp:inline xmlns:a="http://schemas.openxmlformats.org/drawingml/2006/main" xmlns:pic="http://schemas.openxmlformats.org/drawingml/2006/picture">
            <wp:extent cx="4892040" cy="44843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ed_vs_predic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48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7"/>
        </w:rPr>
        <w:t>Figure 3. Final predictions: training and testing for both models. All panels use common logarithmic limits and a 1:1 line. Training predictions are in-sample; testing predictions are held out.</w:t>
      </w:r>
    </w:p>
    <w:p>
      <w:pPr>
        <w:pStyle w:val="Heading1"/>
      </w:pPr>
      <w:r>
        <w:t>8. Interpretation and limitations</w:t>
      </w:r>
    </w:p>
    <w:p>
      <w:pPr>
        <w:pStyle w:val="ListBullet"/>
      </w:pPr>
      <w:r>
        <w:t>Prediction limits: the physics-informed model has test RMSLE 0.2810 versus 0.2855, but both test R² values remain low. Small targets are often overpredicted and large targets underpredicted. The log(y) training loss and log(1+y) selection score emphasize errors differently; one split gives limited evidence.</w:t>
      </w:r>
    </w:p>
    <w:p>
      <w:pPr>
        <w:pStyle w:val="ListBullet"/>
      </w:pPr>
      <w:r>
        <w:t>Approximate physics: agreement RMSE is 0.7838 (training) and 0.7075 (testing), in log10 units. The selected λ=0.01 is weak. Since x1&lt;1 and m&gt;0, the equation requires y_phys&lt;x2²/72.2; 359/1,493 training observations exceed that bound and were retained.</w:t>
      </w:r>
    </w:p>
    <w:p>
      <w:pPr>
        <w:pStyle w:val="ListBullet"/>
      </w:pPr>
      <w:r>
        <w:t>Evidence limits: m and the predictor can co-adapt; the added branch and optimization changes are not isolated, so a causal benefit of physics is not established. Twenty candidates and one seed per fold limit robustness; fold SD is not a confidence interval. Matched-λ studies, repeated seeds, and simple baselines remain future work.</w:t>
      </w:r>
    </w:p>
    <w:p>
      <w:pPr>
        <w:pStyle w:val="Heading1"/>
      </w:pPr>
      <w:r>
        <w:t>Reproduction and disclosure</w:t>
      </w:r>
    </w:p>
    <w:p>
      <w:r>
        <w:t>Reproduce with Database.xls, the notebook, README.md, and requirements.txt. Supporting files contain partitions, settings, fold records, final models, ID-linked predictions/m, and figures. Sources: supplied challenge/workbook and listed software libraries. OpenAI Codex assisted with code, execution, interpretation, figures, and writing. The author must verify and understand all submitted work.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UTA Coding Challenge | October 20,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color w:val="203E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203E5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