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TASK 4: Mini Project Report</w:t>
      </w:r>
    </w:p>
    <w:p>
      <w:pPr>
        <w:spacing w:after="60" w:before="0"/>
        <w:jc w:val="center"/>
      </w:pPr>
      <w:r>
        <w:rPr>
          <w:rFonts w:ascii="Arial" w:cs="Arial" w:eastAsia="Arial" w:hAnsi="Arial"/>
          <w:b/>
          <w:bCs/>
          <w:color w:val="1F4E79"/>
          <w:sz w:val="52"/>
          <w:szCs w:val="52"/>
        </w:rPr>
        <w:t xml:space="preserve">The Role of Artificial Intelligence</w:t>
      </w:r>
    </w:p>
    <w:p>
      <w:pPr>
        <w:spacing w:after="120" w:before="0"/>
        <w:jc w:val="center"/>
      </w:pPr>
      <w:r>
        <w:rPr>
          <w:rFonts w:ascii="Arial" w:cs="Arial" w:eastAsia="Arial" w:hAnsi="Arial"/>
          <w:b/>
          <w:bCs/>
          <w:color w:val="2E75B6"/>
          <w:sz w:val="48"/>
          <w:szCs w:val="48"/>
        </w:rPr>
        <w:t xml:space="preserve">in Autonomous Robots</w:t>
      </w:r>
    </w:p>
    <w:p>
      <w:pPr>
        <w:spacing w:after="60" w:before="0"/>
        <w:jc w:val="center"/>
      </w:pPr>
      <w:r>
        <w:rPr>
          <w:rFonts w:ascii="Arial" w:cs="Arial" w:eastAsia="Arial" w:hAnsi="Arial"/>
          <w:i/>
          <w:iCs/>
          <w:color w:val="444444"/>
          <w:sz w:val="24"/>
          <w:szCs w:val="24"/>
        </w:rPr>
        <w:t xml:space="preserve">Perception, Decision-Making, Learning, and the Future of Intelligent Machines</w:t>
      </w:r>
    </w:p>
    <w:p>
      <w:pPr>
        <w:spacing w:after="480" w:before="0"/>
        <w:jc w:val="center"/>
      </w:pPr>
      <w:r>
        <w:rPr>
          <w:rFonts w:ascii="Arial" w:cs="Arial" w:eastAsia="Arial" w:hAnsi="Arial"/>
          <w:color w:val="666666"/>
          <w:sz w:val="20"/>
          <w:szCs w:val="20"/>
        </w:rPr>
        <w:t xml:space="preserve">Submitted to: CodeAlpha Internship Program  |  Domain: Robotics &amp; Automation</w:t>
      </w:r>
    </w:p>
    <w:p>
      <w:pPr>
        <w:pStyle w:val="Heading1"/>
      </w:pPr>
      <w:r>
        <w:t xml:space="preserve">Abstract</w:t>
      </w:r>
    </w:p>
    <w:p>
      <w:pPr>
        <w:spacing w:after="200" w:before="120"/>
        <w:jc w:val="both"/>
      </w:pPr>
      <w:r>
        <w:rPr>
          <w:rFonts w:ascii="Arial" w:cs="Arial" w:eastAsia="Arial" w:hAnsi="Arial"/>
          <w:sz w:val="24"/>
          <w:szCs w:val="24"/>
        </w:rPr>
        <w:t xml:space="preserve">Autonomous robots represent one of the most transformative technological achievements of the 21st century. At the core of their intelligence lies Artificial Intelligence (AI) — a collection of technologies including machine learning, deep learning, computer vision, natural language processing, and planning algorithms that collectively endow robots with the ability to perceive their environment, reason about it, make decisions, and act without continuous human direction. This mini project explores the multifaceted role AI plays in enabling robotic autonomy, surveying key techniques, real-world deployments, and future research directions. Through this study, it becomes clear that AI is not merely an add-on to robotics but its fundamental enabling technology.</w:t>
      </w:r>
    </w:p>
    <w:p>
      <w:pPr>
        <w:pStyle w:val="Heading1"/>
      </w:pPr>
      <w:r>
        <w:t xml:space="preserve">1. Introduction</w:t>
      </w:r>
    </w:p>
    <w:p>
      <w:pPr>
        <w:spacing w:after="120" w:before="120"/>
        <w:jc w:val="both"/>
      </w:pPr>
      <w:r>
        <w:rPr>
          <w:rFonts w:ascii="Arial" w:cs="Arial" w:eastAsia="Arial" w:hAnsi="Arial"/>
          <w:sz w:val="24"/>
          <w:szCs w:val="24"/>
        </w:rPr>
        <w:t xml:space="preserve">The word 'robot' was coined by Czech playwright Karel Capek in 1920, and for decades, robots remained rigid, rule-bound machines executing fixed, pre-programmed instructions. The rise of AI — particularly the deep learning revolution of the 2010s — shattered this paradigm. Modern autonomous robots navigate unstructured environments, recognize and manipulate objects they have never encountered before, collaborate with humans, and learn from experience to improve over time.</w:t>
      </w:r>
    </w:p>
    <w:p>
      <w:pPr>
        <w:spacing w:after="200" w:before="0"/>
        <w:jc w:val="both"/>
      </w:pPr>
      <w:r>
        <w:rPr>
          <w:rFonts w:ascii="Arial" w:cs="Arial" w:eastAsia="Arial" w:hAnsi="Arial"/>
          <w:sz w:val="24"/>
          <w:szCs w:val="24"/>
        </w:rPr>
        <w:t xml:space="preserve">The distinction between automation and autonomy is critical. Automated systems follow deterministic rules with no environmental adaptation. Autonomous systems, powered by AI, can dynamically perceive, interpret, plan, and act in environments that were not anticipated at the time of programming. This shift from automation to autonomy is the defining technological transition of contemporary robotics, with sweeping implications for industry, healthcare, transportation, defense, and everyday life.</w:t>
      </w:r>
    </w:p>
    <w:p>
      <w:pPr>
        <w:pStyle w:val="Heading1"/>
      </w:pPr>
      <w:r>
        <w:t xml:space="preserve">2. Core AI Technologies in Autonomous Robots</w:t>
      </w:r>
    </w:p>
    <w:p>
      <w:pPr>
        <w:pStyle w:val="Heading2"/>
      </w:pPr>
      <w:r>
        <w:t xml:space="preserve">2.1 Computer Vision and Perception</w:t>
      </w:r>
    </w:p>
    <w:p>
      <w:pPr>
        <w:spacing w:after="120" w:before="60"/>
        <w:jc w:val="both"/>
      </w:pPr>
      <w:r>
        <w:rPr>
          <w:rFonts w:ascii="Arial" w:cs="Arial" w:eastAsia="Arial" w:hAnsi="Arial"/>
          <w:sz w:val="24"/>
          <w:szCs w:val="24"/>
        </w:rPr>
        <w:t xml:space="preserve">Perception is the foundation of autonomy. Before a robot can act intelligently, it must understand what is around it. Computer vision, powered by Convolutional Neural Networks (CNNs), enables robots to classify objects, detect and track them in real time, estimate depth and 3D structure from 2D images, and segment scenes into semantically meaningful regions.</w:t>
      </w:r>
    </w:p>
    <w:p>
      <w:pPr>
        <w:spacing w:after="120" w:before="0"/>
        <w:jc w:val="both"/>
      </w:pPr>
      <w:r>
        <w:rPr>
          <w:rFonts w:ascii="Arial" w:cs="Arial" w:eastAsia="Arial" w:hAnsi="Arial"/>
          <w:sz w:val="24"/>
          <w:szCs w:val="24"/>
        </w:rPr>
        <w:t xml:space="preserve">YOLO (You Only Look Once) and its successors (YOLOv8, RT-DETR) are among the most widely deployed real-time object detection architectures in robotics. They process entire images in a single forward pass through a neural network, enabling detection at 30–100+ frames per second on modern embedded hardware. LiDAR-camera fusion combines the depth accuracy of laser point clouds with the semantic richness of camera imagery, forming the perceptual backbone of self-driving vehicles and warehouse robots.</w:t>
      </w:r>
    </w:p>
    <w:p>
      <w:pPr>
        <w:pStyle w:val="Heading2"/>
      </w:pPr>
      <w:r>
        <w:t xml:space="preserve">2.2 Simultaneous Localization and Mapping (SLAM)</w:t>
      </w:r>
    </w:p>
    <w:p>
      <w:pPr>
        <w:spacing w:after="120" w:before="60"/>
        <w:jc w:val="both"/>
      </w:pPr>
      <w:r>
        <w:rPr>
          <w:rFonts w:ascii="Arial" w:cs="Arial" w:eastAsia="Arial" w:hAnsi="Arial"/>
          <w:sz w:val="24"/>
          <w:szCs w:val="24"/>
        </w:rPr>
        <w:t xml:space="preserve">For a robot to navigate autonomously, it must answer two intertwined questions simultaneously: Where am I? and What does the environment look like? SLAM algorithms solve this chicken-and-egg problem by building a map of an unknown environment while simultaneously tracking the robot's own position within it. Techniques such as Extended Kalman Filter SLAM, Particle Filter SLAM, and more recently Neural Implicit SLAM (using NeRFs — Neural Radiance Fields) enable robots to construct precise 3D maps in real time.</w:t>
      </w:r>
    </w:p>
    <w:p>
      <w:pPr>
        <w:pStyle w:val="Heading2"/>
      </w:pPr>
      <w:r>
        <w:t xml:space="preserve">2.3 Motion Planning and Path Planning</w:t>
      </w:r>
    </w:p>
    <w:p>
      <w:pPr>
        <w:spacing w:after="120" w:before="60"/>
        <w:jc w:val="both"/>
      </w:pPr>
      <w:r>
        <w:rPr>
          <w:rFonts w:ascii="Arial" w:cs="Arial" w:eastAsia="Arial" w:hAnsi="Arial"/>
          <w:sz w:val="24"/>
          <w:szCs w:val="24"/>
        </w:rPr>
        <w:t xml:space="preserve">Once a robot knows where it is and what surrounds it, AI-based planning algorithms determine how to move from its current state to a desired goal state while avoiding obstacles. Classical planning algorithms (A*, Dijkstra's) operate on discrete grid maps. Modern motion planners such as RRT* (Rapidly-exploring Random Trees) and PRM (Probabilistic Roadmap Methods) handle high-dimensional continuous configuration spaces, enabling robotic arms to plan collision-free trajectories in cluttered environments.</w:t>
      </w:r>
    </w:p>
    <w:p>
      <w:pPr>
        <w:spacing w:after="120" w:before="0"/>
        <w:jc w:val="both"/>
      </w:pPr>
      <w:r>
        <w:rPr>
          <w:rFonts w:ascii="Arial" w:cs="Arial" w:eastAsia="Arial" w:hAnsi="Arial"/>
          <w:sz w:val="24"/>
          <w:szCs w:val="24"/>
        </w:rPr>
        <w:t xml:space="preserve">Deep learning has further advanced motion planning through imitation learning and neural planning networks that bypass the computational cost of traditional search-based approaches. Google DeepMind's AlphaCode for robot manipulation exemplifies how AI can compress complex planning decisions into fast neural network inference.</w:t>
      </w:r>
    </w:p>
    <w:p>
      <w:pPr>
        <w:pStyle w:val="Heading2"/>
      </w:pPr>
      <w:r>
        <w:t xml:space="preserve">2.4 Reinforcement Learning (RL)</w:t>
      </w:r>
    </w:p>
    <w:p>
      <w:pPr>
        <w:spacing w:after="120" w:before="60"/>
        <w:jc w:val="both"/>
      </w:pPr>
      <w:r>
        <w:rPr>
          <w:rFonts w:ascii="Arial" w:cs="Arial" w:eastAsia="Arial" w:hAnsi="Arial"/>
          <w:sz w:val="24"/>
          <w:szCs w:val="24"/>
        </w:rPr>
        <w:t xml:space="preserve">Reinforcement Learning is a paradigm in which an AI agent learns optimal behavior through trial-and-error interaction with an environment, guided by reward signals. In robotics, RL has achieved remarkable results in robot locomotion (Boston Dynamics quadrupeds use RL-trained gaits), dexterous manipulation (OpenAI Dactyl learned to solve a Rubik's Cube with a robotic hand), and autonomous driving (Wayve trains end-to-end driving policies using RL in simulation).</w:t>
      </w:r>
    </w:p>
    <w:p>
      <w:pPr>
        <w:spacing w:after="120" w:before="0"/>
        <w:jc w:val="both"/>
      </w:pPr>
      <w:r>
        <w:rPr>
          <w:rFonts w:ascii="Arial" w:cs="Arial" w:eastAsia="Arial" w:hAnsi="Arial"/>
          <w:sz w:val="24"/>
          <w:szCs w:val="24"/>
        </w:rPr>
        <w:t xml:space="preserve">Sim-to-Real Transfer addresses the challenge of applying policies trained in simulation to real-world hardware. Techniques such as domain randomization (varying simulation parameters widely so the real world is just another variant) and domain adaptation have made it practical to train in simulation and deploy on physical robots, dramatically reducing the cost and risk of real-world exploration.</w:t>
      </w:r>
    </w:p>
    <w:p>
      <w:pPr>
        <w:pStyle w:val="Heading2"/>
      </w:pPr>
      <w:r>
        <w:t xml:space="preserve">2.5 Natural Language Processing (NLP) and Human-Robot Interaction</w:t>
      </w:r>
    </w:p>
    <w:p>
      <w:pPr>
        <w:spacing w:after="200" w:before="60"/>
        <w:jc w:val="both"/>
      </w:pPr>
      <w:r>
        <w:rPr>
          <w:rFonts w:ascii="Arial" w:cs="Arial" w:eastAsia="Arial" w:hAnsi="Arial"/>
          <w:sz w:val="24"/>
          <w:szCs w:val="24"/>
        </w:rPr>
        <w:t xml:space="preserve">Modern autonomous robots are increasingly required to operate alongside humans, understand spoken or written instructions, and communicate their internal state. Large Language Models (LLMs) such as GPT-4 and Google's PaLM are being integrated into robots to enable natural language command interfaces. Projects such as Google's SayCan demonstrate that LLMs can serve as high-level task planners, decomposing abstract user instructions (e.g., bring me a cold drink) into actionable sub-tasks that a physical robot can execute.</w:t>
      </w:r>
    </w:p>
    <w:p>
      <w:pPr>
        <w:pStyle w:val="Heading1"/>
      </w:pPr>
      <w:r>
        <w:t xml:space="preserve">3. Summary: AI Sub-Disciplines and Their Robotic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AI Sub-discipline</w:t>
            </w:r>
          </w:p>
        </w:tc>
        <w:tc>
          <w:tcPr>
            <w:tcW w:type="dxa" w:w="328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Robotic Application</w:t>
            </w:r>
          </w:p>
        </w:tc>
        <w:tc>
          <w:tcPr>
            <w:tcW w:type="dxa" w:w="328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Real-World Example</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Computer Vision (CNN)</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Object detection, scene understanding</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Amazon Robotics bin picking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SLAM</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Autonomous navigation, mapping</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iRobot Roomba, Waymo vehicles</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Reinforcement Learning</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Locomotion, manipulation, games</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Boston Dynamics Spot, OpenAI Dactyl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Motion Planning (RRT*)</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Collision-free path execution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Universal Robots UR5 arm</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NLP / LLMs</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Task understanding, HRI</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Google SayCan, Figure AI humanoid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Sensor Fusion (Kalman)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Localization under uncertainty</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DJI drones, autonomous cars</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Deep Learning (LSTM)</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Predictive control, time-series</w:t>
            </w:r>
          </w:p>
        </w:tc>
        <w:tc>
          <w:tcPr>
            <w:tcW w:type="dxa" w:w="328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2"/>
                <w:szCs w:val="22"/>
              </w:rPr>
              <w:t xml:space="preserve">Robotic exoskeletons (gait prediction)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Generative AI (Diffusion)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Policy generation, task planning</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RT-2 (Robotics Transformer)</w:t>
            </w:r>
          </w:p>
        </w:tc>
      </w:tr>
    </w:tbl>
    <w:p>
      <w:pPr>
        <w:spacing w:after="200" w:before="120"/>
      </w:pPr>
    </w:p>
    <w:p>
      <w:pPr>
        <w:pStyle w:val="Heading1"/>
      </w:pPr>
      <w:r>
        <w:t xml:space="preserve">4. Real-World Applications of AI-Driven Autonomous Robots</w:t>
      </w:r>
    </w:p>
    <w:p>
      <w:pPr>
        <w:pStyle w:val="Heading2"/>
      </w:pPr>
      <w:r>
        <w:t xml:space="preserve">4.1 Self-Driving Vehicles</w:t>
      </w:r>
    </w:p>
    <w:p>
      <w:pPr>
        <w:spacing w:after="120" w:before="60"/>
        <w:jc w:val="both"/>
      </w:pPr>
      <w:r>
        <w:rPr>
          <w:rFonts w:ascii="Arial" w:cs="Arial" w:eastAsia="Arial" w:hAnsi="Arial"/>
          <w:sz w:val="24"/>
          <w:szCs w:val="24"/>
        </w:rPr>
        <w:t xml:space="preserve">Autonomous vehicles represent perhaps the most widely publicized application of AI in robotics. Companies such as Waymo, Tesla, Cruise, and Mobileye have deployed AI stacks combining deep neural networks for perception, probabilistic state estimation for localization, and behavior prediction models for anticipating the actions of other road users. Waymo's fleet has accumulated over 20 million miles of fully autonomous driving in complex urban environments, with AI making decisions in under 10 milliseconds for safety-critical maneuvers.</w:t>
      </w:r>
    </w:p>
    <w:p>
      <w:pPr>
        <w:pStyle w:val="Heading2"/>
      </w:pPr>
      <w:r>
        <w:t xml:space="preserve">4.2 Warehouse and Logistics Robots</w:t>
      </w:r>
    </w:p>
    <w:p>
      <w:pPr>
        <w:spacing w:after="120" w:before="60"/>
        <w:jc w:val="both"/>
      </w:pPr>
      <w:r>
        <w:rPr>
          <w:rFonts w:ascii="Arial" w:cs="Arial" w:eastAsia="Arial" w:hAnsi="Arial"/>
          <w:sz w:val="24"/>
          <w:szCs w:val="24"/>
        </w:rPr>
        <w:t xml:space="preserve">Amazon Robotics deploys over 750,000 autonomous mobile robots in its fulfillment centers. These robots use AI-driven scheduling, path planning, and fleet coordination algorithms to move inventory pods to human picking stations, reducing order processing times by over 50%. AI-powered computer vision enables robots to identify and grasp arbitrary items in unstructured bin environments, a task that challenged robotics for decades.</w:t>
      </w:r>
    </w:p>
    <w:p>
      <w:pPr>
        <w:pStyle w:val="Heading2"/>
      </w:pPr>
      <w:r>
        <w:t xml:space="preserve">4.3 Surgical and Medical Robots</w:t>
      </w:r>
    </w:p>
    <w:p>
      <w:pPr>
        <w:spacing w:after="120" w:before="60"/>
        <w:jc w:val="both"/>
      </w:pPr>
      <w:r>
        <w:rPr>
          <w:rFonts w:ascii="Arial" w:cs="Arial" w:eastAsia="Arial" w:hAnsi="Arial"/>
          <w:sz w:val="24"/>
          <w:szCs w:val="24"/>
        </w:rPr>
        <w:t xml:space="preserve">AI is progressively augmenting surgical robotics beyond simple teleoperation. Machine learning models trained on thousands of surgical videos can identify anatomical landmarks, flag potential complications, and provide context-aware guidance to the operating surgeon. In rehabilitation, AI algorithms personalize therapy protocols in real time based on patient biofeedback, adjusting the assistance provided by exoskeletons to match the patient's recovery progress.</w:t>
      </w:r>
    </w:p>
    <w:p>
      <w:pPr>
        <w:pStyle w:val="Heading2"/>
      </w:pPr>
      <w:r>
        <w:t xml:space="preserve">4.4 Agricultural and Field Robots</w:t>
      </w:r>
    </w:p>
    <w:p>
      <w:pPr>
        <w:spacing w:after="120" w:before="60"/>
        <w:jc w:val="both"/>
      </w:pPr>
      <w:r>
        <w:rPr>
          <w:rFonts w:ascii="Arial" w:cs="Arial" w:eastAsia="Arial" w:hAnsi="Arial"/>
          <w:sz w:val="24"/>
          <w:szCs w:val="24"/>
        </w:rPr>
        <w:t xml:space="preserve">AI-powered agricultural robots are transforming precision farming. Vision systems detect crop disease at early stages, robotic arms perform selective harvesting of ripe produce without damaging adjacent plants, and autonomous tractors use GPS-SLAM fusion to execute precise field operations. John Deere's See &amp; Spray system uses a camera array and neural networks to distinguish between crops and weeds, applying herbicide only to weeds and reducing chemical usage by up to 90%.</w:t>
      </w:r>
    </w:p>
    <w:p>
      <w:pPr>
        <w:pStyle w:val="Heading2"/>
      </w:pPr>
      <w:r>
        <w:t xml:space="preserve">4.5 Humanoid Robots</w:t>
      </w:r>
    </w:p>
    <w:p>
      <w:pPr>
        <w:spacing w:after="200" w:before="60"/>
        <w:jc w:val="both"/>
      </w:pPr>
      <w:r>
        <w:rPr>
          <w:rFonts w:ascii="Arial" w:cs="Arial" w:eastAsia="Arial" w:hAnsi="Arial"/>
          <w:sz w:val="24"/>
          <w:szCs w:val="24"/>
        </w:rPr>
        <w:t xml:space="preserve">The humanoid robot category has seen unprecedented progress, driven by AI advances. Tesla Optimus, Figure AI's Figure 02, and Agility Robotics' Digit are designed to operate in human-built environments performing general-purpose physical labor. These robots rely on foundation models — large AI models pre-trained on vast multimodal data — that provide generalizable knowledge about the physical world, enabling them to adapt to novel tasks without task-specific programming.</w:t>
      </w:r>
    </w:p>
    <w:p>
      <w:pPr>
        <w:pStyle w:val="Heading1"/>
      </w:pPr>
      <w:r>
        <w:t xml:space="preserve">5. Challenges in AI-Driven Autonomous Robotics</w:t>
      </w:r>
    </w:p>
    <w:p>
      <w:pPr>
        <w:pStyle w:val="ListParagraph"/>
        <w:numPr>
          <w:ilvl w:val="0"/>
          <w:numId w:val="2"/>
        </w:numPr>
      </w:pPr>
      <w:r>
        <w:rPr>
          <w:rFonts w:ascii="Arial" w:cs="Arial" w:eastAsia="Arial" w:hAnsi="Arial"/>
          <w:sz w:val="24"/>
          <w:szCs w:val="24"/>
        </w:rPr>
        <w:t xml:space="preserve">Robustness and Safety: Deep neural networks can fail unpredictably on inputs that differ from their training distribution. Ensuring that AI-driven robots behave safely in all conditions — including adversarial, rare, or novel scenarios — remains an open research problem with direct safety implications.</w:t>
      </w:r>
    </w:p>
    <w:p>
      <w:pPr>
        <w:pStyle w:val="ListParagraph"/>
        <w:numPr>
          <w:ilvl w:val="0"/>
          <w:numId w:val="2"/>
        </w:numPr>
      </w:pPr>
      <w:r>
        <w:rPr>
          <w:rFonts w:ascii="Arial" w:cs="Arial" w:eastAsia="Arial" w:hAnsi="Arial"/>
          <w:sz w:val="24"/>
          <w:szCs w:val="24"/>
        </w:rPr>
        <w:t xml:space="preserve">Computational Constraints: Advanced AI models (particularly deep neural networks) require significant computational resources. Deploying state-of-the-art AI on power-constrained mobile robots demands edge AI hardware such as NVIDIA Jetson, Google Coral TPUs, and custom ASICs.</w:t>
      </w:r>
    </w:p>
    <w:p>
      <w:pPr>
        <w:pStyle w:val="ListParagraph"/>
        <w:numPr>
          <w:ilvl w:val="0"/>
          <w:numId w:val="2"/>
        </w:numPr>
      </w:pPr>
      <w:r>
        <w:rPr>
          <w:rFonts w:ascii="Arial" w:cs="Arial" w:eastAsia="Arial" w:hAnsi="Arial"/>
          <w:sz w:val="24"/>
          <w:szCs w:val="24"/>
        </w:rPr>
        <w:t xml:space="preserve">Data Scarcity in Robotics: Unlike image classification (billions of labeled photos available), robotics tasks often suffer from data scarcity. Collecting real-world robotic manipulation data is slow and expensive. Sim-to-real gaps and self-supervised learning are active research areas addressing this bottleneck.</w:t>
      </w:r>
    </w:p>
    <w:p>
      <w:pPr>
        <w:pStyle w:val="ListParagraph"/>
        <w:numPr>
          <w:ilvl w:val="0"/>
          <w:numId w:val="2"/>
        </w:numPr>
      </w:pPr>
      <w:r>
        <w:rPr>
          <w:rFonts w:ascii="Arial" w:cs="Arial" w:eastAsia="Arial" w:hAnsi="Arial"/>
          <w:sz w:val="24"/>
          <w:szCs w:val="24"/>
        </w:rPr>
        <w:t xml:space="preserve">Explainability and Trust: Black-box neural networks make decisions that cannot be easily interpreted by humans. In safety-critical applications (medical, military), the inability to explain AI decisions raises serious concerns about accountability and liability.</w:t>
      </w:r>
    </w:p>
    <w:p>
      <w:pPr>
        <w:pStyle w:val="ListParagraph"/>
        <w:numPr>
          <w:ilvl w:val="0"/>
          <w:numId w:val="2"/>
        </w:numPr>
      </w:pPr>
      <w:r>
        <w:rPr>
          <w:rFonts w:ascii="Arial" w:cs="Arial" w:eastAsia="Arial" w:hAnsi="Arial"/>
          <w:sz w:val="24"/>
          <w:szCs w:val="24"/>
        </w:rPr>
        <w:t xml:space="preserve">Ethical and Societal Impact: Autonomous robots capable of replacing human labor across sectors raise profound questions about workforce displacement, algorithmic bias, autonomous weapons, and the concentration of technological power.</w:t>
      </w:r>
    </w:p>
    <w:p>
      <w:pPr>
        <w:spacing w:after="200" w:before="60"/>
      </w:pPr>
    </w:p>
    <w:p>
      <w:pPr>
        <w:pStyle w:val="Heading1"/>
      </w:pPr>
      <w:r>
        <w:t xml:space="preserve">6. Future Directions</w:t>
      </w:r>
    </w:p>
    <w:p>
      <w:pPr>
        <w:spacing w:after="80" w:before="120"/>
        <w:jc w:val="both"/>
      </w:pPr>
      <w:r>
        <w:rPr>
          <w:rFonts w:ascii="Arial" w:cs="Arial" w:eastAsia="Arial" w:hAnsi="Arial"/>
          <w:sz w:val="24"/>
          <w:szCs w:val="24"/>
        </w:rPr>
        <w:t xml:space="preserve">The future of AI in autonomous robotics is shaped by several converging technological trends:</w:t>
      </w:r>
    </w:p>
    <w:p>
      <w:pPr>
        <w:pStyle w:val="ListParagraph"/>
        <w:numPr>
          <w:ilvl w:val="0"/>
          <w:numId w:val="3"/>
        </w:numPr>
      </w:pPr>
      <w:r>
        <w:rPr>
          <w:rFonts w:ascii="Arial" w:cs="Arial" w:eastAsia="Arial" w:hAnsi="Arial"/>
          <w:sz w:val="24"/>
          <w:szCs w:val="24"/>
        </w:rPr>
        <w:t xml:space="preserve">Foundation Models for Robotics: Models analogous to GPT-4 but trained on robot sensor data, action sequences, and physical world videos (e.g., Google RT-2) will enable generalizable, few-shot task learning, dramatically reducing the data requirements for new robot deployments.</w:t>
      </w:r>
    </w:p>
    <w:p>
      <w:pPr>
        <w:pStyle w:val="ListParagraph"/>
        <w:numPr>
          <w:ilvl w:val="0"/>
          <w:numId w:val="3"/>
        </w:numPr>
      </w:pPr>
      <w:r>
        <w:rPr>
          <w:rFonts w:ascii="Arial" w:cs="Arial" w:eastAsia="Arial" w:hAnsi="Arial"/>
          <w:sz w:val="24"/>
          <w:szCs w:val="24"/>
        </w:rPr>
        <w:t xml:space="preserve">Embodied AI: AI systems designed from the ground up for physical world interaction, integrating perception, memory, reasoning, and action in unified architectures rather than modular pipelines.</w:t>
      </w:r>
    </w:p>
    <w:p>
      <w:pPr>
        <w:pStyle w:val="ListParagraph"/>
        <w:numPr>
          <w:ilvl w:val="0"/>
          <w:numId w:val="3"/>
        </w:numPr>
      </w:pPr>
      <w:r>
        <w:rPr>
          <w:rFonts w:ascii="Arial" w:cs="Arial" w:eastAsia="Arial" w:hAnsi="Arial"/>
          <w:sz w:val="24"/>
          <w:szCs w:val="24"/>
        </w:rPr>
        <w:t xml:space="preserve">Neuromorphic Computing: Brain-inspired computing architectures (Intel Loihi, IBM NorthPole) that process sensory streams with ultra-low latency and energy consumption, enabling always-on AI perception in mobile robots.</w:t>
      </w:r>
    </w:p>
    <w:p>
      <w:pPr>
        <w:pStyle w:val="ListParagraph"/>
        <w:numPr>
          <w:ilvl w:val="0"/>
          <w:numId w:val="3"/>
        </w:numPr>
      </w:pPr>
      <w:r>
        <w:rPr>
          <w:rFonts w:ascii="Arial" w:cs="Arial" w:eastAsia="Arial" w:hAnsi="Arial"/>
          <w:sz w:val="24"/>
          <w:szCs w:val="24"/>
        </w:rPr>
        <w:t xml:space="preserve">Swarm Intelligence: Multi-robot systems governed by distributed AI where no single robot holds a global model. Emergent collective behaviors enable resilient, scalable operations in search-and-rescue, environmental monitoring, and construction.</w:t>
      </w:r>
    </w:p>
    <w:p>
      <w:pPr>
        <w:pStyle w:val="ListParagraph"/>
        <w:numPr>
          <w:ilvl w:val="0"/>
          <w:numId w:val="3"/>
        </w:numPr>
      </w:pPr>
      <w:r>
        <w:rPr>
          <w:rFonts w:ascii="Arial" w:cs="Arial" w:eastAsia="Arial" w:hAnsi="Arial"/>
          <w:sz w:val="24"/>
          <w:szCs w:val="24"/>
        </w:rPr>
        <w:t xml:space="preserve">Ethical AI Frameworks: Development of formal verification tools, explainable AI techniques, and regulatory standards to ensure that autonomous robots operate safely, equitably, and transparently.</w:t>
      </w:r>
    </w:p>
    <w:p>
      <w:pPr>
        <w:spacing w:after="200" w:before="60"/>
      </w:pPr>
    </w:p>
    <w:p>
      <w:pPr>
        <w:pStyle w:val="Heading1"/>
      </w:pPr>
      <w:r>
        <w:t xml:space="preserve">7. Conclusion</w:t>
      </w:r>
    </w:p>
    <w:p>
      <w:pPr>
        <w:spacing w:after="120" w:before="120"/>
        <w:jc w:val="both"/>
      </w:pPr>
      <w:r>
        <w:rPr>
          <w:rFonts w:ascii="Arial" w:cs="Arial" w:eastAsia="Arial" w:hAnsi="Arial"/>
          <w:sz w:val="24"/>
          <w:szCs w:val="24"/>
        </w:rPr>
        <w:t xml:space="preserve">Artificial Intelligence is the engine that drives autonomous robotics. From the neural networks that let a robot see, to the reinforcement learning algorithms that teach it to walk, to the language models that let it understand human instructions, AI is not peripheral to autonomous robots — it is what makes them autonomous. The field is advancing at a pace that would have seemed impossible a decade ago, with AI-driven robots now operating in hospitals, on farms, on public roads, and in outer space.</w:t>
      </w:r>
    </w:p>
    <w:p>
      <w:pPr>
        <w:spacing w:after="200" w:before="0"/>
        <w:jc w:val="both"/>
      </w:pPr>
      <w:r>
        <w:rPr>
          <w:rFonts w:ascii="Arial" w:cs="Arial" w:eastAsia="Arial" w:hAnsi="Arial"/>
          <w:sz w:val="24"/>
          <w:szCs w:val="24"/>
        </w:rPr>
        <w:t xml:space="preserve">The challenges that remain — safety, generalization, data efficiency, and ethical governance — are formidable but not insurmountable. The coming decade will likely see autonomous robots become as transformative to physical labor as software and the internet were to information work. The engineers and researchers entering the field today will shape whether this transformation is pursued responsibly, equitably, and for the benefit of humanity as a whole.</w:t>
      </w:r>
    </w:p>
    <w:p>
      <w:pPr>
        <w:pStyle w:val="Heading1"/>
      </w:pPr>
      <w:r>
        <w:t xml:space="preserve">References</w:t>
      </w:r>
    </w:p>
    <w:p>
      <w:pPr>
        <w:pStyle w:val="ListParagraph"/>
        <w:numPr>
          <w:ilvl w:val="0"/>
          <w:numId w:val="2"/>
        </w:numPr>
      </w:pPr>
      <w:r>
        <w:rPr>
          <w:rFonts w:ascii="Arial" w:cs="Arial" w:eastAsia="Arial" w:hAnsi="Arial"/>
          <w:sz w:val="22"/>
          <w:szCs w:val="22"/>
        </w:rPr>
        <w:t xml:space="preserve">LeCun, Y., Bengio, Y., &amp; Hinton, G. (2015). Deep learning. Nature, 521(7553), 436–444.</w:t>
      </w:r>
    </w:p>
    <w:p>
      <w:pPr>
        <w:pStyle w:val="ListParagraph"/>
        <w:numPr>
          <w:ilvl w:val="0"/>
          <w:numId w:val="2"/>
        </w:numPr>
      </w:pPr>
      <w:r>
        <w:rPr>
          <w:rFonts w:ascii="Arial" w:cs="Arial" w:eastAsia="Arial" w:hAnsi="Arial"/>
          <w:sz w:val="22"/>
          <w:szCs w:val="22"/>
        </w:rPr>
        <w:t xml:space="preserve">Redmon, J., &amp; Farhadi, A. (2018). YOLOv3: An Incremental Improvement. arXiv:1804.02767.</w:t>
      </w:r>
    </w:p>
    <w:p>
      <w:pPr>
        <w:pStyle w:val="ListParagraph"/>
        <w:numPr>
          <w:ilvl w:val="0"/>
          <w:numId w:val="2"/>
        </w:numPr>
      </w:pPr>
      <w:r>
        <w:rPr>
          <w:rFonts w:ascii="Arial" w:cs="Arial" w:eastAsia="Arial" w:hAnsi="Arial"/>
          <w:sz w:val="22"/>
          <w:szCs w:val="22"/>
        </w:rPr>
        <w:t xml:space="preserve">Mnih, V., et al. (2015). Human-level control through deep reinforcement learning. Nature, 518, 529–533.</w:t>
      </w:r>
    </w:p>
    <w:p>
      <w:pPr>
        <w:pStyle w:val="ListParagraph"/>
        <w:numPr>
          <w:ilvl w:val="0"/>
          <w:numId w:val="2"/>
        </w:numPr>
      </w:pPr>
      <w:r>
        <w:rPr>
          <w:rFonts w:ascii="Arial" w:cs="Arial" w:eastAsia="Arial" w:hAnsi="Arial"/>
          <w:sz w:val="22"/>
          <w:szCs w:val="22"/>
        </w:rPr>
        <w:t xml:space="preserve">Brohan, A., et al. (2023). RT-2: Vision-Language-Action Models Transfer Web Knowledge to Robotic Control. Google DeepMind.</w:t>
      </w:r>
    </w:p>
    <w:p>
      <w:pPr>
        <w:pStyle w:val="ListParagraph"/>
        <w:numPr>
          <w:ilvl w:val="0"/>
          <w:numId w:val="2"/>
        </w:numPr>
      </w:pPr>
      <w:r>
        <w:rPr>
          <w:rFonts w:ascii="Arial" w:cs="Arial" w:eastAsia="Arial" w:hAnsi="Arial"/>
          <w:sz w:val="22"/>
          <w:szCs w:val="22"/>
        </w:rPr>
        <w:t xml:space="preserve">Ahn, M., et al. (2022). Do As I Can, Not As I Say: Grounding Language in Robotic Affordances (SayCan). arXiv:2204.01691.</w:t>
      </w:r>
    </w:p>
    <w:p>
      <w:pPr>
        <w:pStyle w:val="ListParagraph"/>
        <w:numPr>
          <w:ilvl w:val="0"/>
          <w:numId w:val="2"/>
        </w:numPr>
      </w:pPr>
      <w:r>
        <w:rPr>
          <w:rFonts w:ascii="Arial" w:cs="Arial" w:eastAsia="Arial" w:hAnsi="Arial"/>
          <w:sz w:val="22"/>
          <w:szCs w:val="22"/>
        </w:rPr>
        <w:t xml:space="preserve">Boston Dynamics. (2024). Spot Robot Technical Overview. https://www.bostondynamics.com</w:t>
      </w:r>
    </w:p>
    <w:p>
      <w:pPr>
        <w:pStyle w:val="ListParagraph"/>
        <w:numPr>
          <w:ilvl w:val="0"/>
          <w:numId w:val="2"/>
        </w:numPr>
      </w:pPr>
      <w:r>
        <w:rPr>
          <w:rFonts w:ascii="Arial" w:cs="Arial" w:eastAsia="Arial" w:hAnsi="Arial"/>
          <w:sz w:val="22"/>
          <w:szCs w:val="22"/>
        </w:rPr>
        <w:t xml:space="preserve">Waymo. (2024). Waymo One Safety Report. https://waymo.com/safety</w:t>
      </w:r>
    </w:p>
    <w:p>
      <w:pPr>
        <w:pStyle w:val="ListParagraph"/>
        <w:numPr>
          <w:ilvl w:val="0"/>
          <w:numId w:val="2"/>
        </w:numPr>
      </w:pPr>
      <w:r>
        <w:rPr>
          <w:rFonts w:ascii="Arial" w:cs="Arial" w:eastAsia="Arial" w:hAnsi="Arial"/>
          <w:sz w:val="22"/>
          <w:szCs w:val="22"/>
        </w:rPr>
        <w:t xml:space="preserve">Kumar, V., et al. (2016). Dexterous Manipulation and the Limitations of Current AI. IJRR, 35(1-3), 3–20.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666666"/>
        <w:sz w:val="18"/>
        <w:szCs w:val="18"/>
      </w:rPr>
      <w:t xml:space="preserve">CodeAlpha Internship | Robotics &amp; Automation</w:t>
    </w:r>
    <w:r>
      <w:rPr>
        <w:rFonts w:ascii="Arial" w:cs="Arial" w:eastAsia="Arial" w:hAnsi="Arial"/>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Role of AI in Autonomous Robots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2026-06-07T18:08:30.190Z</dcterms:created>
  <dcterms:modified xsi:type="dcterms:W3CDTF">2026-06-07T18:08:30.190Z</dcterms:modified>
</cp:coreProperties>
</file>

<file path=docProps/custom.xml><?xml version="1.0" encoding="utf-8"?>
<Properties xmlns="http://schemas.openxmlformats.org/officeDocument/2006/custom-properties" xmlns:vt="http://schemas.openxmlformats.org/officeDocument/2006/docPropsVTypes"/>
</file>