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val="false"/>
          <w:bCs w:val="false"/>
          <w:color w:val="888888"/>
          <w:sz w:val="20"/>
          <w:szCs w:val="20"/>
        </w:rPr>
        <w:t xml:space="preserve">TASK 1: Research Report</w:t>
      </w:r>
    </w:p>
    <w:p>
      <w:pPr>
        <w:spacing w:after="120" w:before="0"/>
        <w:jc w:val="center"/>
      </w:pPr>
      <w:r>
        <w:rPr>
          <w:rFonts w:ascii="Arial" w:cs="Arial" w:eastAsia="Arial" w:hAnsi="Arial"/>
          <w:b/>
          <w:bCs/>
          <w:color w:val="1F4E79"/>
          <w:sz w:val="52"/>
          <w:szCs w:val="52"/>
        </w:rPr>
        <w:t xml:space="preserve">Robotics Applications in Healthcare</w:t>
      </w:r>
    </w:p>
    <w:p>
      <w:pPr>
        <w:spacing w:after="60" w:before="0"/>
        <w:jc w:val="center"/>
      </w:pPr>
      <w:r>
        <w:rPr>
          <w:rFonts w:ascii="Arial" w:cs="Arial" w:eastAsia="Arial" w:hAnsi="Arial"/>
          <w:i/>
          <w:iCs/>
          <w:color w:val="2E75B6"/>
          <w:sz w:val="24"/>
          <w:szCs w:val="24"/>
        </w:rPr>
        <w:t xml:space="preserve">Surgical Robots, Rehabilitation, and the Future of Medical Automation</w:t>
      </w:r>
    </w:p>
    <w:p>
      <w:pPr>
        <w:spacing w:after="60" w:before="0"/>
        <w:jc w:val="center"/>
      </w:pPr>
      <w:r>
        <w:rPr>
          <w:rFonts w:ascii="Arial" w:cs="Arial" w:eastAsia="Arial" w:hAnsi="Arial"/>
          <w:color w:val="666666"/>
          <w:sz w:val="20"/>
          <w:szCs w:val="20"/>
        </w:rPr>
        <w:t xml:space="preserve">Submitted to: CodeAlpha Internship Program</w:t>
      </w:r>
    </w:p>
    <w:p>
      <w:pPr>
        <w:spacing w:after="480" w:before="0"/>
        <w:jc w:val="center"/>
      </w:pPr>
      <w:r>
        <w:rPr>
          <w:rFonts w:ascii="Arial" w:cs="Arial" w:eastAsia="Arial" w:hAnsi="Arial"/>
          <w:color w:val="666666"/>
          <w:sz w:val="20"/>
          <w:szCs w:val="20"/>
        </w:rPr>
        <w:t xml:space="preserve">Domain: Robotics &amp; Automation</w:t>
      </w:r>
    </w:p>
    <w:p>
      <w:pPr>
        <w:pStyle w:val="Heading1"/>
      </w:pPr>
      <w:r>
        <w:t xml:space="preserve">1. Introduction</w:t>
      </w:r>
    </w:p>
    <w:p>
      <w:pPr>
        <w:spacing w:after="120" w:before="120"/>
        <w:jc w:val="both"/>
      </w:pPr>
      <w:r>
        <w:rPr>
          <w:rFonts w:ascii="Arial" w:cs="Arial" w:eastAsia="Arial" w:hAnsi="Arial"/>
          <w:sz w:val="24"/>
          <w:szCs w:val="24"/>
        </w:rPr>
        <w:t xml:space="preserve">The integration of robotics into healthcare has ushered in a new era of precision, efficiency, and patient safety. Over the past two decades, robotic systems have evolved from simple mechanical aids to sophisticated, AI-driven platforms capable of performing complex surgical procedures, assisting in patient rehabilitation, and supporting clinical workflows. The global healthcare robotics market was valued at approximately USD 14.7 billion in 2023 and is projected to surpass USD 40 billion by 2030, reflecting the rapid adoption of robotic technologies across hospitals, rehabilitation centers, and elder care facilities.</w:t>
      </w:r>
    </w:p>
    <w:p>
      <w:pPr>
        <w:spacing w:after="200" w:before="120"/>
        <w:jc w:val="both"/>
      </w:pPr>
      <w:r>
        <w:rPr>
          <w:rFonts w:ascii="Arial" w:cs="Arial" w:eastAsia="Arial" w:hAnsi="Arial"/>
          <w:sz w:val="24"/>
          <w:szCs w:val="24"/>
        </w:rPr>
        <w:t xml:space="preserve">Robotics in healthcare can be broadly categorized into surgical robotics, rehabilitation robotics, diagnostic and laboratory automation, and care or service robots. Each category addresses unique clinical challenges, but all share a common goal: enhancing the quality of care while reducing human error and operational burdens on healthcare professionals. This report provides a comprehensive review of these categories, with emphasis on surgical robotics and rehabilitation systems, and discusses the challenges, ethical considerations, and future directions in the field.</w:t>
      </w:r>
    </w:p>
    <w:p>
      <w:pPr>
        <w:pStyle w:val="Heading1"/>
      </w:pPr>
      <w:r>
        <w:t xml:space="preserve">2. Surgical Robotics</w:t>
      </w:r>
    </w:p>
    <w:p>
      <w:pPr>
        <w:pStyle w:val="Heading2"/>
      </w:pPr>
      <w:r>
        <w:t xml:space="preserve">2.1 History and Evolution</w:t>
      </w:r>
    </w:p>
    <w:p>
      <w:pPr>
        <w:spacing w:after="120" w:before="120"/>
        <w:jc w:val="both"/>
      </w:pPr>
      <w:r>
        <w:rPr>
          <w:rFonts w:ascii="Arial" w:cs="Arial" w:eastAsia="Arial" w:hAnsi="Arial"/>
          <w:sz w:val="24"/>
          <w:szCs w:val="24"/>
        </w:rPr>
        <w:t xml:space="preserve">The journey of surgical robotics began in the late 1980s with ROBODOC, a system designed for orthopedic procedures. The landmark development came in 2000 when the da Vinci Surgical System received FDA approval, setting the global standard for minimally invasive robotic surgery. Today, the da Vinci system has been used in over 10 million procedures worldwide, spanning urology, gynecology, cardiothoracic surgery, and general surgery. This history demonstrates the transformative path from experimental tool to mainstream clinical adoption.</w:t>
      </w:r>
    </w:p>
    <w:p>
      <w:pPr>
        <w:pStyle w:val="Heading2"/>
      </w:pPr>
      <w:r>
        <w:t xml:space="preserve">2.2 Key Surgical Robotic Systems</w:t>
      </w:r>
    </w:p>
    <w:p>
      <w:pPr>
        <w:spacing w:after="60" w:before="120"/>
      </w:pPr>
      <w:r>
        <w:rPr>
          <w:rFonts w:ascii="Arial" w:cs="Arial" w:eastAsia="Arial" w:hAnsi="Arial"/>
          <w:b/>
          <w:bCs/>
          <w:sz w:val="24"/>
          <w:szCs w:val="24"/>
        </w:rPr>
        <w:t xml:space="preserve">da Vinci Surgical System (Intuitive Surgical)</w:t>
      </w:r>
    </w:p>
    <w:p>
      <w:pPr>
        <w:spacing w:after="120" w:before="0"/>
        <w:jc w:val="both"/>
      </w:pPr>
      <w:r>
        <w:rPr>
          <w:rFonts w:ascii="Arial" w:cs="Arial" w:eastAsia="Arial" w:hAnsi="Arial"/>
          <w:sz w:val="24"/>
          <w:szCs w:val="24"/>
        </w:rPr>
        <w:t xml:space="preserve">The da Vinci system is the most widely used surgical robotic platform globally. It consists of a surgeon's console, a patient-side cart with four robotic arms, and a high-definition 3D vision system. The surgeon controls the robot's instruments from a console, translating hand movements into precise micro-movements within the patient's body. Key advantages include tremor filtration, enhanced dexterity in confined anatomical spaces, 10x magnified 3D visualization, and faster patient recovery due to smaller incisions.</w:t>
      </w:r>
    </w:p>
    <w:p>
      <w:pPr>
        <w:spacing w:after="60" w:before="120"/>
      </w:pPr>
      <w:r>
        <w:rPr>
          <w:rFonts w:ascii="Arial" w:cs="Arial" w:eastAsia="Arial" w:hAnsi="Arial"/>
          <w:b/>
          <w:bCs/>
          <w:sz w:val="24"/>
          <w:szCs w:val="24"/>
        </w:rPr>
        <w:t xml:space="preserve">Other Notable Systems</w:t>
      </w:r>
    </w:p>
    <w:p>
      <w:pPr>
        <w:pStyle w:val="ListParagraph"/>
        <w:numPr>
          <w:ilvl w:val="0"/>
          <w:numId w:val="2"/>
        </w:numPr>
      </w:pPr>
      <w:r>
        <w:rPr>
          <w:rFonts w:ascii="Arial" w:cs="Arial" w:eastAsia="Arial" w:hAnsi="Arial"/>
          <w:sz w:val="24"/>
          <w:szCs w:val="24"/>
        </w:rPr>
        <w:t xml:space="preserve">Mako Robotic-Arm Assisted Surgery (Stryker): Used in knee and hip arthroplasty, offering pre-operative 3D planning and real-time intraoperative guidance.</w:t>
      </w:r>
    </w:p>
    <w:p>
      <w:pPr>
        <w:pStyle w:val="ListParagraph"/>
        <w:numPr>
          <w:ilvl w:val="0"/>
          <w:numId w:val="2"/>
        </w:numPr>
      </w:pPr>
      <w:r>
        <w:rPr>
          <w:rFonts w:ascii="Arial" w:cs="Arial" w:eastAsia="Arial" w:hAnsi="Arial"/>
          <w:sz w:val="24"/>
          <w:szCs w:val="24"/>
        </w:rPr>
        <w:t xml:space="preserve">ROSA Brain Robot (Zimmer Biomet): A stereotactic neurosurgical robot for brain biopsies, deep brain stimulation, and epilepsy surgery.</w:t>
      </w:r>
    </w:p>
    <w:p>
      <w:pPr>
        <w:pStyle w:val="ListParagraph"/>
        <w:numPr>
          <w:ilvl w:val="0"/>
          <w:numId w:val="2"/>
        </w:numPr>
      </w:pPr>
      <w:r>
        <w:rPr>
          <w:rFonts w:ascii="Arial" w:cs="Arial" w:eastAsia="Arial" w:hAnsi="Arial"/>
          <w:sz w:val="24"/>
          <w:szCs w:val="24"/>
        </w:rPr>
        <w:t xml:space="preserve">Versius (CMR Surgical): A modular, portable robotic system designed for flexible deployment across multiple operating rooms.</w:t>
      </w:r>
    </w:p>
    <w:p>
      <w:pPr>
        <w:pStyle w:val="ListParagraph"/>
        <w:numPr>
          <w:ilvl w:val="0"/>
          <w:numId w:val="2"/>
        </w:numPr>
      </w:pPr>
      <w:r>
        <w:rPr>
          <w:rFonts w:ascii="Arial" w:cs="Arial" w:eastAsia="Arial" w:hAnsi="Arial"/>
          <w:sz w:val="24"/>
          <w:szCs w:val="24"/>
        </w:rPr>
        <w:t xml:space="preserve">Hugo RAS System (Medtronic): A newer entrant offering cloud-based data analytics and lower cost of deployment for smaller hospitals.</w:t>
      </w:r>
    </w:p>
    <w:p>
      <w:pPr>
        <w:pStyle w:val="Heading2"/>
      </w:pPr>
      <w:r>
        <w:t xml:space="preserve">2.3 Benefits of Surgical Robotics</w:t>
      </w:r>
    </w:p>
    <w:p>
      <w:pPr>
        <w:spacing w:after="200" w:before="120"/>
        <w:jc w:val="both"/>
      </w:pPr>
      <w:r>
        <w:rPr>
          <w:rFonts w:ascii="Arial" w:cs="Arial" w:eastAsia="Arial" w:hAnsi="Arial"/>
          <w:sz w:val="24"/>
          <w:szCs w:val="24"/>
        </w:rPr>
        <w:t xml:space="preserve">Studies consistently demonstrate that robotic-assisted surgeries result in reduced blood loss, shorter hospital stays, lower infection rates, and improved patient outcomes compared to traditional open surgery. For example, robotic prostatectomy has shown significantly lower rates of urinary incontinence and sexual dysfunction post-surgery. From the surgeon's perspective, the ergonomic benefits of operating from a seated console reduce fatigue during long procedures, potentially decreasing the risk of surgeon-error in extended operations.</w:t>
      </w:r>
    </w:p>
    <w:p>
      <w:pPr>
        <w:pStyle w:val="Heading1"/>
      </w:pPr>
      <w:r>
        <w:t xml:space="preserve">3. Rehabilitation Robotics</w:t>
      </w:r>
    </w:p>
    <w:p>
      <w:pPr>
        <w:pStyle w:val="Heading2"/>
      </w:pPr>
      <w:r>
        <w:t xml:space="preserve">3.1 Overview and Need</w:t>
      </w:r>
    </w:p>
    <w:p>
      <w:pPr>
        <w:spacing w:after="120" w:before="120"/>
        <w:jc w:val="both"/>
      </w:pPr>
      <w:r>
        <w:rPr>
          <w:rFonts w:ascii="Arial" w:cs="Arial" w:eastAsia="Arial" w:hAnsi="Arial"/>
          <w:sz w:val="24"/>
          <w:szCs w:val="24"/>
        </w:rPr>
        <w:t xml:space="preserve">Rehabilitation robotics addresses one of the most demanding areas of healthcare: restoring mobility, function, and independence to patients who have suffered strokes, spinal cord injuries, orthopedic trauma, or neurological disorders. Traditional physical therapy is labor-intensive, time-limited, and heavily dependent on therapist availability. Rehabilitation robots can deliver consistent, high-repetition therapy sessions, monitor patient progress with precision, and adapt to each patient's recovery trajectory in ways that human therapists alone cannot sustain.</w:t>
      </w:r>
    </w:p>
    <w:p>
      <w:pPr>
        <w:pStyle w:val="Heading2"/>
      </w:pPr>
      <w:r>
        <w:t xml:space="preserve">3.2 Key Rehabilitation Technologies</w:t>
      </w:r>
    </w:p>
    <w:p>
      <w:pPr>
        <w:spacing w:after="60" w:before="120"/>
      </w:pPr>
      <w:r>
        <w:rPr>
          <w:rFonts w:ascii="Arial" w:cs="Arial" w:eastAsia="Arial" w:hAnsi="Arial"/>
          <w:b/>
          <w:bCs/>
          <w:sz w:val="24"/>
          <w:szCs w:val="24"/>
        </w:rPr>
        <w:t xml:space="preserve">Exoskeletons</w:t>
      </w:r>
    </w:p>
    <w:p>
      <w:pPr>
        <w:spacing w:after="120" w:before="0"/>
        <w:jc w:val="both"/>
      </w:pPr>
      <w:r>
        <w:rPr>
          <w:rFonts w:ascii="Arial" w:cs="Arial" w:eastAsia="Arial" w:hAnsi="Arial"/>
          <w:sz w:val="24"/>
          <w:szCs w:val="24"/>
        </w:rPr>
        <w:t xml:space="preserve">Powered exoskeletons are wearable robotic suits that support and augment movement. ReWalk (ReWalk Robotics) and Ekso (Ekso Bionics) are FDA-cleared devices enabling paraplegic patients to stand and walk. Lokomat (Hocoma) is a treadmill-based lower limb robotic orthosis widely used in gait rehabilitation after stroke and spinal injury. These devices deliver repetitive, task-specific movement training that promotes neuroplasticity, the brain's ability to rewire itself in response to learning and experience.</w:t>
      </w:r>
    </w:p>
    <w:p>
      <w:pPr>
        <w:spacing w:after="60" w:before="120"/>
      </w:pPr>
      <w:r>
        <w:rPr>
          <w:rFonts w:ascii="Arial" w:cs="Arial" w:eastAsia="Arial" w:hAnsi="Arial"/>
          <w:b/>
          <w:bCs/>
          <w:sz w:val="24"/>
          <w:szCs w:val="24"/>
        </w:rPr>
        <w:t xml:space="preserve">Upper Limb Rehabilitation Robots</w:t>
      </w:r>
    </w:p>
    <w:p>
      <w:pPr>
        <w:spacing w:after="120" w:before="0"/>
        <w:jc w:val="both"/>
      </w:pPr>
      <w:r>
        <w:rPr>
          <w:rFonts w:ascii="Arial" w:cs="Arial" w:eastAsia="Arial" w:hAnsi="Arial"/>
          <w:sz w:val="24"/>
          <w:szCs w:val="24"/>
        </w:rPr>
        <w:t xml:space="preserve">The InMotion ARM (Bionik Laboratories) and ArmeoPower (Hocoma) are robotic platforms designed to rehabilitate arm and hand function after stroke. They provide assist-as-needed therapy, meaning the robot only intervenes when the patient cannot complete a movement independently, thereby maximizing the patient's active engagement and motor learning. Integrated gaming interfaces improve patient motivation and compliance during therapy sessions.</w:t>
      </w:r>
    </w:p>
    <w:p>
      <w:pPr>
        <w:pStyle w:val="Heading2"/>
      </w:pPr>
      <w:r>
        <w:t xml:space="preserve">3.3 Clinical Evidence</w:t>
      </w:r>
    </w:p>
    <w:p>
      <w:pPr>
        <w:spacing w:after="200" w:before="120"/>
        <w:jc w:val="both"/>
      </w:pPr>
      <w:r>
        <w:rPr>
          <w:rFonts w:ascii="Arial" w:cs="Arial" w:eastAsia="Arial" w:hAnsi="Arial"/>
          <w:sz w:val="24"/>
          <w:szCs w:val="24"/>
        </w:rPr>
        <w:t xml:space="preserve">Multiple systematic reviews have confirmed the efficacy of robotic rehabilitation. A Cochrane Review on electromechanical and robotic-assisted arm training after stroke found that robotic therapy significantly improved arm function, arm muscle strength, and activities of daily living compared to usual care alone. Long-term studies with Lokomat showed meaningful improvements in walking speed, endurance, and balance in chronic stroke patients, even years after injury.</w:t>
      </w:r>
    </w:p>
    <w:p>
      <w:pPr>
        <w:pStyle w:val="Heading1"/>
      </w:pPr>
      <w:r>
        <w:t xml:space="preserve">4. Diagnostic and Laboratory Automation</w:t>
      </w:r>
    </w:p>
    <w:p>
      <w:pPr>
        <w:spacing w:after="120" w:before="120"/>
        <w:jc w:val="both"/>
      </w:pPr>
      <w:r>
        <w:rPr>
          <w:rFonts w:ascii="Arial" w:cs="Arial" w:eastAsia="Arial" w:hAnsi="Arial"/>
          <w:sz w:val="24"/>
          <w:szCs w:val="24"/>
        </w:rPr>
        <w:t xml:space="preserve">Beyond direct patient care, robotics has transformed clinical laboratories and diagnostic workflows. Automated liquid handling robots perform sample processing, reagent dispensing, and assay setup with precision unattainable by hand, dramatically increasing throughput in clinical chemistry, microbiology, and genomics labs. During the COVID-19 pandemic, robotic PCR testing platforms enabled mass-scale testing at speeds impossible with manual methods.</w:t>
      </w:r>
    </w:p>
    <w:p>
      <w:pPr>
        <w:spacing w:after="200" w:before="120"/>
        <w:jc w:val="both"/>
      </w:pPr>
      <w:r>
        <w:rPr>
          <w:rFonts w:ascii="Arial" w:cs="Arial" w:eastAsia="Arial" w:hAnsi="Arial"/>
          <w:sz w:val="24"/>
          <w:szCs w:val="24"/>
        </w:rPr>
        <w:t xml:space="preserve">AI-powered diagnostic robots are also being developed for imaging analysis. Robotic-assisted ultrasound systems can position probes with high repeatability, eliminating operator dependency in echocardiography and fetal monitoring. Capsule endoscopy robots, which navigate the gastrointestinal tract remotely, are being enhanced with magnetically guided locomotion for targeted biopsy capabilities.</w:t>
      </w:r>
    </w:p>
    <w:p>
      <w:pPr>
        <w:pStyle w:val="Heading1"/>
      </w:pPr>
      <w:r>
        <w:t xml:space="preserve">5. Service and Assistive Robots in Healthcare</w:t>
      </w:r>
    </w:p>
    <w:p>
      <w:pPr>
        <w:spacing w:after="120" w:before="120"/>
        <w:jc w:val="both"/>
      </w:pPr>
      <w:r>
        <w:rPr>
          <w:rFonts w:ascii="Arial" w:cs="Arial" w:eastAsia="Arial" w:hAnsi="Arial"/>
          <w:sz w:val="24"/>
          <w:szCs w:val="24"/>
        </w:rPr>
        <w:t xml:space="preserve">Service robots are increasingly deployed in hospitals and elder care facilities to reduce the physical burden on nursing staff and improve workflow efficiency. Examples include autonomous mobile robots (AMRs) for medication delivery, linen transport, and waste disposal. Moxi (Diligent Robotics) is a hospital logistics robot that assists nurses by retrieving supplies, freeing clinical staff to focus on direct patient care.</w:t>
      </w:r>
    </w:p>
    <w:p>
      <w:pPr>
        <w:spacing w:after="200" w:before="120"/>
        <w:jc w:val="both"/>
      </w:pPr>
      <w:r>
        <w:rPr>
          <w:rFonts w:ascii="Arial" w:cs="Arial" w:eastAsia="Arial" w:hAnsi="Arial"/>
          <w:sz w:val="24"/>
          <w:szCs w:val="24"/>
        </w:rPr>
        <w:t xml:space="preserve">Social robots such as PARO, a therapeutic robotic seal, have demonstrated measurable reductions in anxiety and agitation in dementia patients. Telepresence robots allow remote physicians to conduct virtual rounds, significantly extending specialist access to underserved rural areas. These applications highlight how robotics addresses not only clinical efficiency but also the psychological and social dimensions of healthcare.</w:t>
      </w:r>
    </w:p>
    <w:p>
      <w:pPr>
        <w:pStyle w:val="Heading1"/>
      </w:pPr>
      <w:r>
        <w:t xml:space="preserve">6. Challenges and Ethical Considerations</w:t>
      </w:r>
    </w:p>
    <w:p>
      <w:pPr>
        <w:spacing w:after="80" w:before="120"/>
        <w:jc w:val="both"/>
      </w:pPr>
      <w:r>
        <w:rPr>
          <w:rFonts w:ascii="Arial" w:cs="Arial" w:eastAsia="Arial" w:hAnsi="Arial"/>
          <w:sz w:val="24"/>
          <w:szCs w:val="24"/>
        </w:rPr>
        <w:t xml:space="preserve">Despite the remarkable progress, significant challenges hinder the widespread adoption of healthcare robotics:</w:t>
      </w:r>
    </w:p>
    <w:p>
      <w:pPr>
        <w:pStyle w:val="ListParagraph"/>
        <w:numPr>
          <w:ilvl w:val="0"/>
          <w:numId w:val="3"/>
        </w:numPr>
      </w:pPr>
      <w:r>
        <w:rPr>
          <w:rFonts w:ascii="Arial" w:cs="Arial" w:eastAsia="Arial" w:hAnsi="Arial"/>
          <w:sz w:val="24"/>
          <w:szCs w:val="24"/>
        </w:rPr>
        <w:t xml:space="preserve">Cost Barriers: High acquisition, maintenance, and training costs limit deployment to large, well-funded institutions. The da Vinci system, for example, costs between USD 1.5 million and USD 2.5 million, with significant annual maintenance fees.</w:t>
      </w:r>
    </w:p>
    <w:p>
      <w:pPr>
        <w:pStyle w:val="ListParagraph"/>
        <w:numPr>
          <w:ilvl w:val="0"/>
          <w:numId w:val="3"/>
        </w:numPr>
      </w:pPr>
      <w:r>
        <w:rPr>
          <w:rFonts w:ascii="Arial" w:cs="Arial" w:eastAsia="Arial" w:hAnsi="Arial"/>
          <w:sz w:val="24"/>
          <w:szCs w:val="24"/>
        </w:rPr>
        <w:t xml:space="preserve">Training Requirements: Surgeons and clinicians require extensive training to achieve proficiency. The learning curve is steep, and inadequately trained users may increase rather than decrease operative risk.</w:t>
      </w:r>
    </w:p>
    <w:p>
      <w:pPr>
        <w:pStyle w:val="ListParagraph"/>
        <w:numPr>
          <w:ilvl w:val="0"/>
          <w:numId w:val="3"/>
        </w:numPr>
      </w:pPr>
      <w:r>
        <w:rPr>
          <w:rFonts w:ascii="Arial" w:cs="Arial" w:eastAsia="Arial" w:hAnsi="Arial"/>
          <w:sz w:val="24"/>
          <w:szCs w:val="24"/>
        </w:rPr>
        <w:t xml:space="preserve">Regulatory Pathways: Regulatory clearance for new robotic systems varies by region and can be lengthy. Ensuring that post-market surveillance captures rare complications requires robust reporting frameworks.</w:t>
      </w:r>
    </w:p>
    <w:p>
      <w:pPr>
        <w:pStyle w:val="ListParagraph"/>
        <w:numPr>
          <w:ilvl w:val="0"/>
          <w:numId w:val="3"/>
        </w:numPr>
      </w:pPr>
      <w:r>
        <w:rPr>
          <w:rFonts w:ascii="Arial" w:cs="Arial" w:eastAsia="Arial" w:hAnsi="Arial"/>
          <w:sz w:val="24"/>
          <w:szCs w:val="24"/>
        </w:rPr>
        <w:t xml:space="preserve">Liability and Accountability: When robotic-assisted procedures result in adverse outcomes, determining liability between the surgeon, the hospital, and the manufacturer remains legally and ethically complex.</w:t>
      </w:r>
    </w:p>
    <w:p>
      <w:pPr>
        <w:pStyle w:val="ListParagraph"/>
        <w:numPr>
          <w:ilvl w:val="0"/>
          <w:numId w:val="3"/>
        </w:numPr>
      </w:pPr>
      <w:r>
        <w:rPr>
          <w:rFonts w:ascii="Arial" w:cs="Arial" w:eastAsia="Arial" w:hAnsi="Arial"/>
          <w:sz w:val="24"/>
          <w:szCs w:val="24"/>
        </w:rPr>
        <w:t xml:space="preserve">Data Security: Networked surgical and rehabilitation robots generate sensitive patient data. Ensuring cybersecurity and HIPAA/GDPR compliance is critical as these systems become more connected.</w:t>
      </w:r>
    </w:p>
    <w:p>
      <w:pPr>
        <w:spacing w:after="200" w:before="120"/>
      </w:pPr>
    </w:p>
    <w:p>
      <w:pPr>
        <w:pStyle w:val="Heading1"/>
      </w:pPr>
      <w:r>
        <w:t xml:space="preserve">7. Future Directions</w:t>
      </w:r>
    </w:p>
    <w:p>
      <w:pPr>
        <w:spacing w:after="80" w:before="120"/>
        <w:jc w:val="both"/>
      </w:pPr>
      <w:r>
        <w:rPr>
          <w:rFonts w:ascii="Arial" w:cs="Arial" w:eastAsia="Arial" w:hAnsi="Arial"/>
          <w:sz w:val="24"/>
          <w:szCs w:val="24"/>
        </w:rPr>
        <w:t xml:space="preserve">The future of healthcare robotics lies at the convergence of artificial intelligence, nanotechnology, and human-robot interaction. Key trends shaping the next generation of medical robots include:</w:t>
      </w:r>
    </w:p>
    <w:p>
      <w:pPr>
        <w:pStyle w:val="ListParagraph"/>
        <w:numPr>
          <w:ilvl w:val="0"/>
          <w:numId w:val="2"/>
        </w:numPr>
      </w:pPr>
      <w:r>
        <w:rPr>
          <w:rFonts w:ascii="Arial" w:cs="Arial" w:eastAsia="Arial" w:hAnsi="Arial"/>
          <w:sz w:val="24"/>
          <w:szCs w:val="24"/>
        </w:rPr>
        <w:t xml:space="preserve">AI-Guided Autonomy: Future surgical robots will incorporate AI-based decision support for real-time tissue identification, anomaly detection, and autonomous sub-task execution, gradually shifting toward supervised autonomy.</w:t>
      </w:r>
    </w:p>
    <w:p>
      <w:pPr>
        <w:pStyle w:val="ListParagraph"/>
        <w:numPr>
          <w:ilvl w:val="0"/>
          <w:numId w:val="2"/>
        </w:numPr>
      </w:pPr>
      <w:r>
        <w:rPr>
          <w:rFonts w:ascii="Arial" w:cs="Arial" w:eastAsia="Arial" w:hAnsi="Arial"/>
          <w:sz w:val="24"/>
          <w:szCs w:val="24"/>
        </w:rPr>
        <w:t xml:space="preserve">Soft Robotics: Compliant, flexible robotic tools inspired by biological tissue will navigate delicate anatomical structures with lower risk of injury, enabling new minimally invasive procedures.</w:t>
      </w:r>
    </w:p>
    <w:p>
      <w:pPr>
        <w:pStyle w:val="ListParagraph"/>
        <w:numPr>
          <w:ilvl w:val="0"/>
          <w:numId w:val="2"/>
        </w:numPr>
      </w:pPr>
      <w:r>
        <w:rPr>
          <w:rFonts w:ascii="Arial" w:cs="Arial" w:eastAsia="Arial" w:hAnsi="Arial"/>
          <w:sz w:val="24"/>
          <w:szCs w:val="24"/>
        </w:rPr>
        <w:t xml:space="preserve">Nanorobotics: Nanoscale robots capable of targeted drug delivery, plaque removal from arteries, or tumor destruction represent the frontier of medical robotics research.</w:t>
      </w:r>
    </w:p>
    <w:p>
      <w:pPr>
        <w:pStyle w:val="ListParagraph"/>
        <w:numPr>
          <w:ilvl w:val="0"/>
          <w:numId w:val="2"/>
        </w:numPr>
      </w:pPr>
      <w:r>
        <w:rPr>
          <w:rFonts w:ascii="Arial" w:cs="Arial" w:eastAsia="Arial" w:hAnsi="Arial"/>
          <w:sz w:val="24"/>
          <w:szCs w:val="24"/>
        </w:rPr>
        <w:t xml:space="preserve">Home Rehabilitation Robots: Affordable exoskeletons and upper limb therapy devices will enable patients to continue evidence-based rehabilitation in their own homes, overcoming access barriers.</w:t>
      </w:r>
    </w:p>
    <w:p>
      <w:pPr>
        <w:pStyle w:val="ListParagraph"/>
        <w:numPr>
          <w:ilvl w:val="0"/>
          <w:numId w:val="2"/>
        </w:numPr>
      </w:pPr>
      <w:r>
        <w:rPr>
          <w:rFonts w:ascii="Arial" w:cs="Arial" w:eastAsia="Arial" w:hAnsi="Arial"/>
          <w:sz w:val="24"/>
          <w:szCs w:val="24"/>
        </w:rPr>
        <w:t xml:space="preserve">Telerobotics and Remote Surgery: Advances in 5G communication and haptic feedback will enable surgeons to perform procedures on patients thousands of miles away, democratizing access to specialist care.</w:t>
      </w:r>
    </w:p>
    <w:p>
      <w:pPr>
        <w:spacing w:after="200" w:before="120"/>
      </w:pPr>
    </w:p>
    <w:p>
      <w:pPr>
        <w:pStyle w:val="Heading1"/>
      </w:pPr>
      <w:r>
        <w:t xml:space="preserve">8. Conclusion</w:t>
      </w:r>
    </w:p>
    <w:p>
      <w:pPr>
        <w:spacing w:after="200" w:before="120"/>
        <w:jc w:val="both"/>
      </w:pPr>
      <w:r>
        <w:rPr>
          <w:rFonts w:ascii="Arial" w:cs="Arial" w:eastAsia="Arial" w:hAnsi="Arial"/>
          <w:sz w:val="24"/>
          <w:szCs w:val="24"/>
        </w:rPr>
        <w:t xml:space="preserve">Robotics is fundamentally reshaping healthcare, delivering tangible improvements in surgical precision, rehabilitation outcomes, diagnostic accuracy, and patient service delivery. While challenges related to cost, training, regulation, and ethics must be systematically addressed, the trajectory of healthcare robotics is unmistakably upward. As AI, sensor technology, and miniaturization continue to advance, medical robots will become safer, more capable, and more accessible, ultimately contributing to better health outcomes for patients worldwide. The field demands continued interdisciplinary collaboration between engineers, clinicians, ethicists, and policymakers to ensure that robotic innovation translates into equitable, patient-centered care.</w:t>
      </w:r>
    </w:p>
    <w:p>
      <w:pPr>
        <w:pStyle w:val="Heading1"/>
      </w:pPr>
      <w:r>
        <w:t xml:space="preserve">References</w:t>
      </w:r>
    </w:p>
    <w:p>
      <w:pPr>
        <w:pStyle w:val="ListParagraph"/>
        <w:numPr>
          <w:ilvl w:val="0"/>
          <w:numId w:val="3"/>
        </w:numPr>
      </w:pPr>
      <w:r>
        <w:rPr>
          <w:rFonts w:ascii="Arial" w:cs="Arial" w:eastAsia="Arial" w:hAnsi="Arial"/>
          <w:sz w:val="22"/>
          <w:szCs w:val="22"/>
        </w:rPr>
        <w:t xml:space="preserve">Intuitive Surgical. (2023). da Vinci Surgical System Clinical Evidence. Retrieved from https://www.intuitive.com</w:t>
      </w:r>
    </w:p>
    <w:p>
      <w:pPr>
        <w:pStyle w:val="ListParagraph"/>
        <w:numPr>
          <w:ilvl w:val="0"/>
          <w:numId w:val="3"/>
        </w:numPr>
      </w:pPr>
      <w:r>
        <w:rPr>
          <w:rFonts w:ascii="Arial" w:cs="Arial" w:eastAsia="Arial" w:hAnsi="Arial"/>
          <w:sz w:val="22"/>
          <w:szCs w:val="22"/>
        </w:rPr>
        <w:t xml:space="preserve">Kwoh, Y. S., Hou, J., Jonckheere, E. A., &amp; Hayati, S. (1988). A robot with improved absolute positioning accuracy for CT guided stereotactic brain surgery. IEEE Transactions on Biomedical Engineering, 35(2), 153–160.</w:t>
      </w:r>
    </w:p>
    <w:p>
      <w:pPr>
        <w:pStyle w:val="ListParagraph"/>
        <w:numPr>
          <w:ilvl w:val="0"/>
          <w:numId w:val="3"/>
        </w:numPr>
      </w:pPr>
      <w:r>
        <w:rPr>
          <w:rFonts w:ascii="Arial" w:cs="Arial" w:eastAsia="Arial" w:hAnsi="Arial"/>
          <w:sz w:val="22"/>
          <w:szCs w:val="22"/>
        </w:rPr>
        <w:t xml:space="preserve">Mehrholz, J., et al. (2017). Electromechanical and robot-assisted arm training for improving activities of daily living, arm function, and arm muscle strength after stroke. Cochrane Database of Systematic Reviews.</w:t>
      </w:r>
    </w:p>
    <w:p>
      <w:pPr>
        <w:pStyle w:val="ListParagraph"/>
        <w:numPr>
          <w:ilvl w:val="0"/>
          <w:numId w:val="3"/>
        </w:numPr>
      </w:pPr>
      <w:r>
        <w:rPr>
          <w:rFonts w:ascii="Arial" w:cs="Arial" w:eastAsia="Arial" w:hAnsi="Arial"/>
          <w:sz w:val="22"/>
          <w:szCs w:val="22"/>
        </w:rPr>
        <w:t xml:space="preserve">World Economic Forum. (2023). The Future of Jobs in Robotics and AI. Geneva: WEF.</w:t>
      </w:r>
    </w:p>
    <w:p>
      <w:pPr>
        <w:pStyle w:val="ListParagraph"/>
        <w:numPr>
          <w:ilvl w:val="0"/>
          <w:numId w:val="3"/>
        </w:numPr>
      </w:pPr>
      <w:r>
        <w:rPr>
          <w:rFonts w:ascii="Arial" w:cs="Arial" w:eastAsia="Arial" w:hAnsi="Arial"/>
          <w:sz w:val="22"/>
          <w:szCs w:val="22"/>
        </w:rPr>
        <w:t xml:space="preserve">Grand View Research. (2023). Healthcare Robotics Market Size, Share &amp; Trends Analysis Report. San Francisco: GVR.</w:t>
      </w:r>
    </w:p>
    <w:p>
      <w:pPr>
        <w:pStyle w:val="ListParagraph"/>
        <w:numPr>
          <w:ilvl w:val="0"/>
          <w:numId w:val="3"/>
        </w:numPr>
      </w:pPr>
      <w:r>
        <w:rPr>
          <w:rFonts w:ascii="Arial" w:cs="Arial" w:eastAsia="Arial" w:hAnsi="Arial"/>
          <w:sz w:val="22"/>
          <w:szCs w:val="22"/>
        </w:rPr>
        <w:t xml:space="preserve">Diligent Robotics. (2023). Moxi Robot: Clinical Workflow Automation. Retrieved from https://www.diligentrobots.com</w:t>
      </w:r>
    </w:p>
    <w:p>
      <w:pPr>
        <w:pStyle w:val="ListParagraph"/>
        <w:numPr>
          <w:ilvl w:val="0"/>
          <w:numId w:val="3"/>
        </w:numPr>
      </w:pPr>
      <w:r>
        <w:rPr>
          <w:rFonts w:ascii="Arial" w:cs="Arial" w:eastAsia="Arial" w:hAnsi="Arial"/>
          <w:sz w:val="22"/>
          <w:szCs w:val="22"/>
        </w:rPr>
        <w:t xml:space="preserve">Weerink, M. W., et al. (2016). Soft Robotics in Rehabilitation. Journal of NeuroEngineering and Rehabilitation, 13(1), 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666666"/>
        <w:sz w:val="18"/>
        <w:szCs w:val="18"/>
      </w:rPr>
      <w:t xml:space="preserve">CodeAlpha Internship | Robotics &amp; Automation</w:t>
    </w:r>
    <w:r>
      <w:rPr>
        <w:rFonts w:ascii="Arial" w:cs="Arial" w:eastAsia="Arial" w:hAnsi="Arial"/>
        <w:color w:val="666666"/>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Robotics in Healthcare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2026-06-07T18:08:22.452Z</dcterms:created>
  <dcterms:modified xsi:type="dcterms:W3CDTF">2026-06-07T18:08:22.452Z</dcterms:modified>
</cp:coreProperties>
</file>

<file path=docProps/custom.xml><?xml version="1.0" encoding="utf-8"?>
<Properties xmlns="http://schemas.openxmlformats.org/officeDocument/2006/custom-properties" xmlns:vt="http://schemas.openxmlformats.org/officeDocument/2006/docPropsVTypes"/>
</file>