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Understanding Everyday Nutrition</w:t>
      </w:r>
    </w:p>
    <w:p>
      <w:pPr>
        <w:pStyle w:val="Heading1"/>
      </w:pPr>
      <w:r>
        <w:t xml:space="preserve">A Practical Reference for Macronutrients, Micronutrients, and Meal Planning</w:t>
      </w:r>
    </w:p>
    <w:p>
      <w:pPr>
        <w:spacing w:after="150"/>
      </w:pPr>
      <w:r>
        <w:t xml:space="preserve">Author: Dr. Elena Marsh, RD, PhD   |   Second Edition   |   This reference is intended for general educational purposes and does not replace personalized advice from a qualified healthcare provider or registered dietitian.</w:t>
      </w:r>
    </w:p>
    <w:p>
      <w:r>
        <w:br w:type="page"/>
      </w:r>
    </w:p>
    <w:p>
      <w:pPr>
        <w:pStyle w:val="Heading1"/>
        <w:spacing w:after="200" w:before="400"/>
      </w:pPr>
      <w:r>
        <w:t xml:space="preserve">Chapter 1: Foundations of Macronutrients</w:t>
      </w:r>
    </w:p>
    <w:p>
      <w:pPr>
        <w:spacing w:after="150"/>
      </w:pPr>
      <w:r>
        <w:t xml:space="preserve">Macronutrients — carbohydrates, proteins, and fats — are the nutrients the body requires in relatively large quantities to produce energy and support growth, repair, and metabolic function. Each gram of carbohydrate or protein provides approximately 4 kilocalories, while each gram of fat provides approximately 9 kilocalories, and alcohol provides about 7 kilocalories per gram. Understanding this energy density helps explain why fat-dense foods contribute more calories per bite than an equivalent volume of vegetables or lean protein.</w:t>
      </w:r>
    </w:p>
    <w:p>
      <w:pPr>
        <w:pStyle w:val="Heading2"/>
        <w:spacing w:after="150" w:before="300"/>
      </w:pPr>
      <w:r>
        <w:t xml:space="preserve">1.1 Carbohydrates</w:t>
      </w:r>
    </w:p>
    <w:p>
      <w:pPr>
        <w:spacing w:after="150"/>
      </w:pPr>
      <w:r>
        <w:t xml:space="preserve">Carbohydrates are the body's preferred and most readily accessible energy source, particularly for the brain and central nervous system, which rely heavily on glucose. Carbohydrates are broadly divided into simple sugars (monosaccharides and disaccharides, found in fruit, milk, and refined sugar) and complex carbohydrates (polysaccharides, including starches and fiber, found in whole grains, legumes, and vegetables). Dietary fiber, though technically a carbohydrate, is not digested by human enzymes and instead passes largely intact to the colon, where it is fermented by gut bacteria or adds bulk to stool.</w:t>
      </w:r>
    </w:p>
    <w:p>
      <w:pPr>
        <w:spacing w:after="150"/>
      </w:pPr>
      <w:r>
        <w:t xml:space="preserve">General population guidelines suggest carbohydrates make up 45–65% of total daily caloric intake, though individual needs vary considerably based on activity level, metabolic health, and personal goals. Athletes engaged in endurance training may benefit from carbohydrate intake at the higher end of this range, or beyond it, to support glycogen replenishment.</w:t>
      </w:r>
    </w:p>
    <w:p>
      <w:pPr>
        <w:pStyle w:val="Heading2"/>
        <w:spacing w:after="150" w:before="300"/>
      </w:pPr>
      <w:r>
        <w:t xml:space="preserve">1.2 Protein</w:t>
      </w:r>
    </w:p>
    <w:p>
      <w:pPr>
        <w:spacing w:after="150"/>
      </w:pPr>
      <w:r>
        <w:t xml:space="preserve">Protein is composed of amino acids, nine of which are considered essential because the human body cannot synthesize them and they must be obtained through diet: histidine, isoleucine, leucine, lysine, methionine, phenylalanine, threonine, tryptophan, and valine. Complete protein sources contain all nine essential amino acids in adequate proportions; these include most animal products (meat, fish, eggs, dairy) as well as a small number of plant sources such as soy and quinoa. Combining complementary plant proteins across a day — for example, legumes with grains — allows individuals following plant-based diets to meet essential amino acid needs without relying on a single complete-protein food.</w:t>
      </w:r>
    </w:p>
    <w:p>
      <w:pPr>
        <w:spacing w:after="150"/>
      </w:pPr>
      <w:r>
        <w:t xml:space="preserve">The Recommended Dietary Allowance (RDA) for protein in generally healthy sedentary adults is 0.8 grams per kilogram of body weight per day. However, research increasingly supports higher intakes — commonly 1.2 to 2.0 grams per kilogram — for individuals engaged in regular resistance training, older adults seeking to preserve muscle mass, or those in a caloric deficit attempting to retain lean tissue.</w:t>
      </w:r>
    </w:p>
    <w:p>
      <w:pPr>
        <w:pStyle w:val="Heading2"/>
        <w:spacing w:after="150" w:before="300"/>
      </w:pPr>
      <w:r>
        <w:t xml:space="preserve">1.3 Fats</w:t>
      </w:r>
    </w:p>
    <w:p>
      <w:pPr>
        <w:spacing w:after="150"/>
      </w:pPr>
      <w:r>
        <w:t xml:space="preserve">Dietary fat is essential for hormone production, cell membrane structure, and absorption of the fat-soluble vitamins A, D, E, and K. Fats are categorized as saturated, monounsaturated, polyunsaturated, and trans fats. Monounsaturated fats (found in olive oil, avocados, and many nuts) and polyunsaturated fats (found in fatty fish, walnuts, and flaxseed) are generally associated with favorable cardiovascular outcomes when they replace saturated fat in the diet. Trans fats, largely a product of industrial hydrogenation, have no known nutritional benefit and are associated with increased LDL cholesterol and decreased HDL cholesterol; most public health bodies recommend minimizing intake as close to zero as practical.</w:t>
      </w:r>
    </w:p>
    <w:p>
      <w:pPr>
        <w:spacing w:after="150"/>
      </w:pPr>
      <w:r>
        <w:t xml:space="preserve">Omega-3 and omega-6 fatty acids are both polyunsaturated fats considered essential, meaning the body cannot produce them and they must come from the diet. Omega-3s, particularly EPA and DHA found in fatty fish such as salmon, mackerel, and sardines, are associated with anti-inflammatory effects, while the plant-based omega-3 ALA (found in flaxseed and walnuts) is converted to EPA/DHA in the body only at a low, variable rate, typically under 10%.</w:t>
      </w:r>
    </w:p>
    <w:p>
      <w:pPr>
        <w:pStyle w:val="Heading1"/>
        <w:spacing w:after="200" w:before="400"/>
      </w:pPr>
      <w:r>
        <w:t xml:space="preserve">Chapter 2: Micronutrients — Vitamins and Minerals</w:t>
      </w:r>
    </w:p>
    <w:p>
      <w:pPr>
        <w:pStyle w:val="Heading2"/>
        <w:spacing w:after="150" w:before="300"/>
      </w:pPr>
      <w:r>
        <w:t xml:space="preserve">2.1 Fat-Soluble Vitamins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000"/>
      </w:tblGrid>
      <w:tr>
        <w:tc>
          <w:tcPr>
            <w:tcW w:type="dxa" w:w="1800"/>
            <w:shd w:fill="3B6E45" w:val="clear"/>
          </w:tcPr>
          <w:p>
            <w:r>
              <w:rPr>
                <w:b/>
                <w:bCs/>
                <w:color w:val="FFFFFF"/>
              </w:rPr>
              <w:t xml:space="preserve">Vitamin</w:t>
            </w:r>
          </w:p>
        </w:tc>
        <w:tc>
          <w:tcPr>
            <w:tcW w:type="dxa" w:w="2600"/>
            <w:shd w:fill="3B6E45" w:val="clear"/>
          </w:tcPr>
          <w:p>
            <w:r>
              <w:rPr>
                <w:b/>
                <w:bCs/>
                <w:color w:val="FFFFFF"/>
              </w:rPr>
              <w:t xml:space="preserve">Key Roles</w:t>
            </w:r>
          </w:p>
        </w:tc>
        <w:tc>
          <w:tcPr>
            <w:tcW w:type="dxa" w:w="2600"/>
            <w:shd w:fill="3B6E45" w:val="clear"/>
          </w:tcPr>
          <w:p>
            <w:r>
              <w:rPr>
                <w:b/>
                <w:bCs/>
                <w:color w:val="FFFFFF"/>
              </w:rPr>
              <w:t xml:space="preserve">Common Sources</w:t>
            </w:r>
          </w:p>
        </w:tc>
        <w:tc>
          <w:tcPr>
            <w:tcW w:type="dxa" w:w="2000"/>
            <w:shd w:fill="3B6E45" w:val="clear"/>
          </w:tcPr>
          <w:p>
            <w:r>
              <w:rPr>
                <w:b/>
                <w:bCs/>
                <w:color w:val="FFFFFF"/>
              </w:rPr>
              <w:t xml:space="preserve">Notes on Deficiency/Excess</w:t>
            </w:r>
          </w:p>
        </w:tc>
      </w:tr>
      <w:tr>
        <w:tc>
          <w:tcPr>
            <w:tcW w:type="dxa" w:w="1800"/>
          </w:tcPr>
          <w:p>
            <w:r>
              <w:t xml:space="preserve">Vitamin A</w:t>
            </w:r>
          </w:p>
        </w:tc>
        <w:tc>
          <w:tcPr>
            <w:tcW w:type="dxa" w:w="2600"/>
          </w:tcPr>
          <w:p>
            <w:r>
              <w:t xml:space="preserve">Vision, immune function, cell growth</w:t>
            </w:r>
          </w:p>
        </w:tc>
        <w:tc>
          <w:tcPr>
            <w:tcW w:type="dxa" w:w="2600"/>
          </w:tcPr>
          <w:p>
            <w:r>
              <w:t xml:space="preserve">Liver, sweet potato, carrots, spinach</w:t>
            </w:r>
          </w:p>
        </w:tc>
        <w:tc>
          <w:tcPr>
            <w:tcW w:type="dxa" w:w="2000"/>
          </w:tcPr>
          <w:p>
            <w:r>
              <w:t xml:space="preserve">Excess preformed A (retinol) can be toxic; beta-carotene from plants is self-limiting</w:t>
            </w:r>
          </w:p>
        </w:tc>
      </w:tr>
      <w:tr>
        <w:tc>
          <w:tcPr>
            <w:tcW w:type="dxa" w:w="1800"/>
          </w:tcPr>
          <w:p>
            <w:r>
              <w:t xml:space="preserve">Vitamin D</w:t>
            </w:r>
          </w:p>
        </w:tc>
        <w:tc>
          <w:tcPr>
            <w:tcW w:type="dxa" w:w="2600"/>
          </w:tcPr>
          <w:p>
            <w:r>
              <w:t xml:space="preserve">Calcium absorption, bone health, immune modulation</w:t>
            </w:r>
          </w:p>
        </w:tc>
        <w:tc>
          <w:tcPr>
            <w:tcW w:type="dxa" w:w="2600"/>
          </w:tcPr>
          <w:p>
            <w:r>
              <w:t xml:space="preserve">Sunlight exposure, fatty fish, fortified milk</w:t>
            </w:r>
          </w:p>
        </w:tc>
        <w:tc>
          <w:tcPr>
            <w:tcW w:type="dxa" w:w="2000"/>
          </w:tcPr>
          <w:p>
            <w:r>
              <w:t xml:space="preserve">Deficiency common in low-sunlight regions; toxicity possible from high-dose supplements</w:t>
            </w:r>
          </w:p>
        </w:tc>
      </w:tr>
      <w:tr>
        <w:tc>
          <w:tcPr>
            <w:tcW w:type="dxa" w:w="1800"/>
          </w:tcPr>
          <w:p>
            <w:r>
              <w:t xml:space="preserve">Vitamin E</w:t>
            </w:r>
          </w:p>
        </w:tc>
        <w:tc>
          <w:tcPr>
            <w:tcW w:type="dxa" w:w="2600"/>
          </w:tcPr>
          <w:p>
            <w:r>
              <w:t xml:space="preserve">Antioxidant, protects cell membranes</w:t>
            </w:r>
          </w:p>
        </w:tc>
        <w:tc>
          <w:tcPr>
            <w:tcW w:type="dxa" w:w="2600"/>
          </w:tcPr>
          <w:p>
            <w:r>
              <w:t xml:space="preserve">Nuts, seeds, vegetable oils</w:t>
            </w:r>
          </w:p>
        </w:tc>
        <w:tc>
          <w:tcPr>
            <w:tcW w:type="dxa" w:w="2000"/>
          </w:tcPr>
          <w:p>
            <w:r>
              <w:t xml:space="preserve">Deficiency rare; high-dose supplementation may interact with blood thinners</w:t>
            </w:r>
          </w:p>
        </w:tc>
      </w:tr>
      <w:tr>
        <w:tc>
          <w:tcPr>
            <w:tcW w:type="dxa" w:w="1800"/>
          </w:tcPr>
          <w:p>
            <w:r>
              <w:t xml:space="preserve">Vitamin K</w:t>
            </w:r>
          </w:p>
        </w:tc>
        <w:tc>
          <w:tcPr>
            <w:tcW w:type="dxa" w:w="2600"/>
          </w:tcPr>
          <w:p>
            <w:r>
              <w:t xml:space="preserve">Blood clotting, bone metabolism</w:t>
            </w:r>
          </w:p>
        </w:tc>
        <w:tc>
          <w:tcPr>
            <w:tcW w:type="dxa" w:w="2600"/>
          </w:tcPr>
          <w:p>
            <w:r>
              <w:t xml:space="preserve">Leafy greens, broccoli, natto</w:t>
            </w:r>
          </w:p>
        </w:tc>
        <w:tc>
          <w:tcPr>
            <w:tcW w:type="dxa" w:w="2000"/>
          </w:tcPr>
          <w:p>
            <w:r>
              <w:t xml:space="preserve">Deficiency can impair clotting; important interaction with warfarin therapy</w:t>
            </w:r>
          </w:p>
        </w:tc>
      </w:tr>
    </w:tbl>
    <w:p>
      <w:pPr>
        <w:spacing w:after="150"/>
      </w:pPr>
      <w:r>
        <w:t xml:space="preserve"/>
      </w:r>
    </w:p>
    <w:p>
      <w:pPr>
        <w:pStyle w:val="Heading2"/>
        <w:spacing w:after="150" w:before="300"/>
      </w:pPr>
      <w:r>
        <w:t xml:space="preserve">2.2 Water-Soluble Vitamins</w:t>
      </w:r>
    </w:p>
    <w:p>
      <w:pPr>
        <w:spacing w:after="150"/>
      </w:pPr>
      <w:r>
        <w:t xml:space="preserve">Unlike fat-soluble vitamins, water-soluble vitamins (the B-complex vitamins and vitamin C) are not stored extensively in the body and generally require more consistent daily intake. Vitamin C supports collagen synthesis, immune function, and acts as an antioxidant; it also enhances non-heme iron absorption when consumed in the same meal, which is a practical strategy for individuals following plant-based diets. Vitamin B12, found almost exclusively in animal products, is a common concern for vegans, who are generally advised to supplement or consume fortified foods, since deficiency can cause irreversible neurological damage if left untreated for an extended period.</w:t>
      </w:r>
    </w:p>
    <w:p>
      <w:pPr>
        <w:pStyle w:val="Heading2"/>
        <w:spacing w:after="150" w:before="300"/>
      </w:pPr>
      <w:r>
        <w:t xml:space="preserve">2.3 Key Minerals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00"/>
        <w:gridCol w:w="2400"/>
      </w:tblGrid>
      <w:tr>
        <w:tc>
          <w:tcPr>
            <w:tcW w:type="dxa" w:w="1600"/>
            <w:shd w:fill="3B6E45" w:val="clear"/>
          </w:tcPr>
          <w:p>
            <w:r>
              <w:rPr>
                <w:b/>
                <w:bCs/>
                <w:color w:val="FFFFFF"/>
              </w:rPr>
              <w:t xml:space="preserve">Mineral</w:t>
            </w:r>
          </w:p>
        </w:tc>
        <w:tc>
          <w:tcPr>
            <w:tcW w:type="dxa" w:w="2400"/>
            <w:shd w:fill="3B6E45" w:val="clear"/>
          </w:tcPr>
          <w:p>
            <w:r>
              <w:rPr>
                <w:b/>
                <w:bCs/>
                <w:color w:val="FFFFFF"/>
              </w:rPr>
              <w:t xml:space="preserve">Primary Function</w:t>
            </w:r>
          </w:p>
        </w:tc>
        <w:tc>
          <w:tcPr>
            <w:tcW w:type="dxa" w:w="2600"/>
            <w:shd w:fill="3B6E45" w:val="clear"/>
          </w:tcPr>
          <w:p>
            <w:r>
              <w:rPr>
                <w:b/>
                <w:bCs/>
                <w:color w:val="FFFFFF"/>
              </w:rPr>
              <w:t xml:space="preserve">Good Sources</w:t>
            </w:r>
          </w:p>
        </w:tc>
        <w:tc>
          <w:tcPr>
            <w:tcW w:type="dxa" w:w="2400"/>
            <w:shd w:fill="3B6E45" w:val="clear"/>
          </w:tcPr>
          <w:p>
            <w:r>
              <w:rPr>
                <w:b/>
                <w:bCs/>
                <w:color w:val="FFFFFF"/>
              </w:rPr>
              <w:t xml:space="preserve">Daily Reference (Adult)</w:t>
            </w:r>
          </w:p>
        </w:tc>
      </w:tr>
      <w:tr>
        <w:tc>
          <w:tcPr>
            <w:tcW w:type="dxa" w:w="1600"/>
          </w:tcPr>
          <w:p>
            <w:r>
              <w:t xml:space="preserve">Iron</w:t>
            </w:r>
          </w:p>
        </w:tc>
        <w:tc>
          <w:tcPr>
            <w:tcW w:type="dxa" w:w="2400"/>
          </w:tcPr>
          <w:p>
            <w:r>
              <w:t xml:space="preserve">Oxygen transport (hemoglobin)</w:t>
            </w:r>
          </w:p>
        </w:tc>
        <w:tc>
          <w:tcPr>
            <w:tcW w:type="dxa" w:w="2600"/>
          </w:tcPr>
          <w:p>
            <w:r>
              <w:t xml:space="preserve">Red meat, lentils, spinach, fortified cereal</w:t>
            </w:r>
          </w:p>
        </w:tc>
        <w:tc>
          <w:tcPr>
            <w:tcW w:type="dxa" w:w="2400"/>
          </w:tcPr>
          <w:p>
            <w:r>
              <w:t xml:space="preserve">8mg (men) / 18mg (women, premenopausal)</w:t>
            </w:r>
          </w:p>
        </w:tc>
      </w:tr>
      <w:tr>
        <w:tc>
          <w:tcPr>
            <w:tcW w:type="dxa" w:w="1600"/>
          </w:tcPr>
          <w:p>
            <w:r>
              <w:t xml:space="preserve">Calcium</w:t>
            </w:r>
          </w:p>
        </w:tc>
        <w:tc>
          <w:tcPr>
            <w:tcW w:type="dxa" w:w="2400"/>
          </w:tcPr>
          <w:p>
            <w:r>
              <w:t xml:space="preserve">Bone/teeth structure, muscle function</w:t>
            </w:r>
          </w:p>
        </w:tc>
        <w:tc>
          <w:tcPr>
            <w:tcW w:type="dxa" w:w="2600"/>
          </w:tcPr>
          <w:p>
            <w:r>
              <w:t xml:space="preserve">Dairy, fortified plant milk, tofu, leafy greens</w:t>
            </w:r>
          </w:p>
        </w:tc>
        <w:tc>
          <w:tcPr>
            <w:tcW w:type="dxa" w:w="2400"/>
          </w:tcPr>
          <w:p>
            <w:r>
              <w:t xml:space="preserve">1000mg, rising to 1200mg after age 50</w:t>
            </w:r>
          </w:p>
        </w:tc>
      </w:tr>
      <w:tr>
        <w:tc>
          <w:tcPr>
            <w:tcW w:type="dxa" w:w="1600"/>
          </w:tcPr>
          <w:p>
            <w:r>
              <w:t xml:space="preserve">Magnesium</w:t>
            </w:r>
          </w:p>
        </w:tc>
        <w:tc>
          <w:tcPr>
            <w:tcW w:type="dxa" w:w="2400"/>
          </w:tcPr>
          <w:p>
            <w:r>
              <w:t xml:space="preserve">Muscle/nerve function, energy metabolism</w:t>
            </w:r>
          </w:p>
        </w:tc>
        <w:tc>
          <w:tcPr>
            <w:tcW w:type="dxa" w:w="2600"/>
          </w:tcPr>
          <w:p>
            <w:r>
              <w:t xml:space="preserve">Nuts, seeds, whole grains, dark chocolate</w:t>
            </w:r>
          </w:p>
        </w:tc>
        <w:tc>
          <w:tcPr>
            <w:tcW w:type="dxa" w:w="2400"/>
          </w:tcPr>
          <w:p>
            <w:r>
              <w:t xml:space="preserve">400–420mg (men), 310–320mg (women)</w:t>
            </w:r>
          </w:p>
        </w:tc>
      </w:tr>
      <w:tr>
        <w:tc>
          <w:tcPr>
            <w:tcW w:type="dxa" w:w="1600"/>
          </w:tcPr>
          <w:p>
            <w:r>
              <w:t xml:space="preserve">Potassium</w:t>
            </w:r>
          </w:p>
        </w:tc>
        <w:tc>
          <w:tcPr>
            <w:tcW w:type="dxa" w:w="2400"/>
          </w:tcPr>
          <w:p>
            <w:r>
              <w:t xml:space="preserve">Fluid balance, nerve signaling, blood pressure</w:t>
            </w:r>
          </w:p>
        </w:tc>
        <w:tc>
          <w:tcPr>
            <w:tcW w:type="dxa" w:w="2600"/>
          </w:tcPr>
          <w:p>
            <w:r>
              <w:t xml:space="preserve">Bananas, potatoes, beans, yogurt</w:t>
            </w:r>
          </w:p>
        </w:tc>
        <w:tc>
          <w:tcPr>
            <w:tcW w:type="dxa" w:w="2400"/>
          </w:tcPr>
          <w:p>
            <w:r>
              <w:t xml:space="preserve">~3400mg (men), 2600mg (women)</w:t>
            </w:r>
          </w:p>
        </w:tc>
      </w:tr>
      <w:tr>
        <w:tc>
          <w:tcPr>
            <w:tcW w:type="dxa" w:w="1600"/>
          </w:tcPr>
          <w:p>
            <w:r>
              <w:t xml:space="preserve">Zinc</w:t>
            </w:r>
          </w:p>
        </w:tc>
        <w:tc>
          <w:tcPr>
            <w:tcW w:type="dxa" w:w="2400"/>
          </w:tcPr>
          <w:p>
            <w:r>
              <w:t xml:space="preserve">Immune function, wound healing</w:t>
            </w:r>
          </w:p>
        </w:tc>
        <w:tc>
          <w:tcPr>
            <w:tcW w:type="dxa" w:w="2600"/>
          </w:tcPr>
          <w:p>
            <w:r>
              <w:t xml:space="preserve">Meat, shellfish, legumes, seeds</w:t>
            </w:r>
          </w:p>
        </w:tc>
        <w:tc>
          <w:tcPr>
            <w:tcW w:type="dxa" w:w="2400"/>
          </w:tcPr>
          <w:p>
            <w:r>
              <w:t xml:space="preserve">11mg (men), 8mg (women)</w:t>
            </w:r>
          </w:p>
        </w:tc>
      </w:tr>
      <w:tr>
        <w:tc>
          <w:tcPr>
            <w:tcW w:type="dxa" w:w="1600"/>
          </w:tcPr>
          <w:p>
            <w:r>
              <w:t xml:space="preserve">Iodine</w:t>
            </w:r>
          </w:p>
        </w:tc>
        <w:tc>
          <w:tcPr>
            <w:tcW w:type="dxa" w:w="2400"/>
          </w:tcPr>
          <w:p>
            <w:r>
              <w:t xml:space="preserve">Thyroid hormone production</w:t>
            </w:r>
          </w:p>
        </w:tc>
        <w:tc>
          <w:tcPr>
            <w:tcW w:type="dxa" w:w="2600"/>
          </w:tcPr>
          <w:p>
            <w:r>
              <w:t xml:space="preserve">Iodized salt, seaweed, dairy, seafood</w:t>
            </w:r>
          </w:p>
        </w:tc>
        <w:tc>
          <w:tcPr>
            <w:tcW w:type="dxa" w:w="2400"/>
          </w:tcPr>
          <w:p>
            <w:r>
              <w:t xml:space="preserve">150mcg</w:t>
            </w:r>
          </w:p>
        </w:tc>
      </w:tr>
    </w:tbl>
    <w:p>
      <w:pPr>
        <w:spacing w:after="150"/>
      </w:pPr>
      <w:r>
        <w:t xml:space="preserve"/>
      </w:r>
    </w:p>
    <w:p>
      <w:pPr>
        <w:pStyle w:val="Heading1"/>
        <w:spacing w:after="200" w:before="400"/>
      </w:pPr>
      <w:r>
        <w:t xml:space="preserve">Chapter 3: Energy Balance and Body Weight</w:t>
      </w:r>
    </w:p>
    <w:p>
      <w:pPr>
        <w:spacing w:after="150"/>
      </w:pPr>
      <w:r>
        <w:t xml:space="preserve">Body weight change is fundamentally governed by energy balance: the relationship between calories consumed and calories expended. Total Daily Energy Expenditure (TDEE) comprises four components: Basal Metabolic Rate (BMR, typically 60–75% of TDEE), the thermic effect of food (roughly 10%), non-exercise activity thermogenesis (NEAT, highly variable), and exercise activity thermogenesis. A commonly cited estimate is that a sustained deficit or surplus of approximately 3,500 kilocalories corresponds to one pound (0.45kg) of body fat gained or lost, though this figure is a simplification and actual metabolic adaptation means weight change often slows over time as the body adjusts its energy expenditure.</w:t>
      </w:r>
    </w:p>
    <w:p>
      <w:pPr>
        <w:pStyle w:val="Heading2"/>
        <w:spacing w:after="150" w:before="300"/>
      </w:pPr>
      <w:r>
        <w:t xml:space="preserve">3.1 Estimating Basal Metabolic Rate</w:t>
      </w:r>
    </w:p>
    <w:p>
      <w:pPr>
        <w:spacing w:after="150"/>
      </w:pPr>
      <w:r>
        <w:t xml:space="preserve">The Mifflin-St Jeor equation is widely regarded as one of the more accurate predictive formulas for BMR in the general population: for men, BMR = (10 × weight in kg) + (6.25 × height in cm) − (5 × age in years) + 5; for women, the same formula is used but subtracting 161 instead of adding 5. This BMR figure is then multiplied by an activity factor (commonly ranging from 1.2 for sedentary individuals to 1.9 for very active individuals) to estimate TDEE.</w:t>
      </w:r>
    </w:p>
    <w:p>
      <w:pPr>
        <w:pStyle w:val="Heading2"/>
        <w:spacing w:after="150" w:before="300"/>
      </w:pPr>
      <w:r>
        <w:t xml:space="preserve">3.2 Rate of Weight Change</w:t>
      </w:r>
    </w:p>
    <w:p>
      <w:pPr>
        <w:spacing w:after="150"/>
      </w:pPr>
      <w:r>
        <w:t xml:space="preserve">For sustainable fat loss, most clinical guidelines recommend a moderate deficit producing a loss of approximately 0.5–1% of body weight per week, which for most adults translates to a daily deficit of roughly 300–750 kilocalories. More aggressive deficits increase the risk of lean muscle loss, nutrient deficiency, and metabolic adaptation, and are generally recommended only under medical or dietitian supervision.</w:t>
      </w:r>
    </w:p>
    <w:p>
      <w:pPr>
        <w:pStyle w:val="Heading1"/>
        <w:spacing w:after="200" w:before="400"/>
      </w:pPr>
      <w:r>
        <w:t xml:space="preserve">Chapter 4: Hydration</w:t>
      </w:r>
    </w:p>
    <w:p>
      <w:pPr>
        <w:spacing w:after="150"/>
      </w:pPr>
      <w:r>
        <w:t xml:space="preserve">Water is involved in virtually every physiological process, including temperature regulation, nutrient transport, and waste removal. General guidance from the U.S. National Academies suggests approximately 3.7 liters of total water per day for adult men and 2.7 liters for adult women, from all sources including food (which contributes roughly 20% of total water intake in a typical diet). Thirst is a reasonably reliable indicator of hydration need for most healthy adults under normal conditions, though it becomes a less reliable signal during intense exercise, illness, or in older adults, whose thirst sensation diminishes with age.</w:t>
      </w:r>
    </w:p>
    <w:p>
      <w:pPr>
        <w:spacing w:after="150"/>
      </w:pPr>
      <w:r>
        <w:t xml:space="preserve">Urine color is a practical, low-cost hydration indicator for most individuals: pale yellow generally indicates adequate hydration, while dark yellow or amber suggests a need for increased fluid intake. Certain B-vitamin supplements and some medications can alter urine color independent of hydration status.</w:t>
      </w:r>
    </w:p>
    <w:p>
      <w:pPr>
        <w:pStyle w:val="Heading1"/>
        <w:spacing w:after="200" w:before="400"/>
      </w:pPr>
      <w:r>
        <w:t xml:space="preserve">Chapter 5: Meal Planning and Practical Application</w:t>
      </w:r>
    </w:p>
    <w:p>
      <w:pPr>
        <w:pStyle w:val="Heading2"/>
        <w:spacing w:after="150" w:before="300"/>
      </w:pPr>
      <w:r>
        <w:t xml:space="preserve">5.1 The Plate Method</w:t>
      </w:r>
    </w:p>
    <w:p>
      <w:pPr>
        <w:spacing w:after="150"/>
      </w:pPr>
      <w:r>
        <w:t xml:space="preserve">A widely used, simplified approach to balanced meal planning is the plate method: filling half the plate with non-starchy vegetables, one quarter with a lean protein source, and one quarter with a complex carbohydrate, with a small amount of healthy fat incorporated through cooking oil, nuts, or dressing. This approach avoids the need for precise calorie counting while naturally moderating portion sizes and improving nutrient density for most eating patterns.</w:t>
      </w:r>
    </w:p>
    <w:p>
      <w:pPr>
        <w:pStyle w:val="Heading2"/>
        <w:spacing w:after="150" w:before="300"/>
      </w:pPr>
      <w:r>
        <w:t xml:space="preserve">5.2 Sample One-Day Meal Plan (Approx. 2,000 kcal)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1600"/>
        <w:gridCol w:w="1400"/>
      </w:tblGrid>
      <w:tr>
        <w:tc>
          <w:tcPr>
            <w:tcW w:type="dxa" w:w="1800"/>
            <w:shd w:fill="3B6E45" w:val="clear"/>
          </w:tcPr>
          <w:p>
            <w:r>
              <w:rPr>
                <w:b/>
                <w:bCs/>
                <w:color w:val="FFFFFF"/>
              </w:rPr>
              <w:t xml:space="preserve">Meal</w:t>
            </w:r>
          </w:p>
        </w:tc>
        <w:tc>
          <w:tcPr>
            <w:tcW w:type="dxa" w:w="4200"/>
            <w:shd w:fill="3B6E45" w:val="clear"/>
          </w:tcPr>
          <w:p>
            <w:r>
              <w:rPr>
                <w:b/>
                <w:bCs/>
                <w:color w:val="FFFFFF"/>
              </w:rPr>
              <w:t xml:space="preserve">Example</w:t>
            </w:r>
          </w:p>
        </w:tc>
        <w:tc>
          <w:tcPr>
            <w:tcW w:type="dxa" w:w="1600"/>
            <w:shd w:fill="3B6E45" w:val="clear"/>
          </w:tcPr>
          <w:p>
            <w:r>
              <w:rPr>
                <w:b/>
                <w:bCs/>
                <w:color w:val="FFFFFF"/>
              </w:rPr>
              <w:t xml:space="preserve">Approx. Calories</w:t>
            </w:r>
          </w:p>
        </w:tc>
        <w:tc>
          <w:tcPr>
            <w:tcW w:type="dxa" w:w="1400"/>
            <w:shd w:fill="3B6E45" w:val="clear"/>
          </w:tcPr>
          <w:p>
            <w:r>
              <w:rPr>
                <w:b/>
                <w:bCs/>
                <w:color w:val="FFFFFF"/>
              </w:rPr>
              <w:t xml:space="preserve">Approx. Protein</w:t>
            </w:r>
          </w:p>
        </w:tc>
      </w:tr>
      <w:tr>
        <w:tc>
          <w:tcPr>
            <w:tcW w:type="dxa" w:w="1800"/>
          </w:tcPr>
          <w:p>
            <w:r>
              <w:t xml:space="preserve">Breakfast</w:t>
            </w:r>
          </w:p>
        </w:tc>
        <w:tc>
          <w:tcPr>
            <w:tcW w:type="dxa" w:w="4200"/>
          </w:tcPr>
          <w:p>
            <w:r>
              <w:t xml:space="preserve">Greek yogurt, mixed berries, 30g rolled oats, 1 tbsp almond butter</w:t>
            </w:r>
          </w:p>
        </w:tc>
        <w:tc>
          <w:tcPr>
            <w:tcW w:type="dxa" w:w="1600"/>
          </w:tcPr>
          <w:p>
            <w:r>
              <w:t xml:space="preserve">420 kcal</w:t>
            </w:r>
          </w:p>
        </w:tc>
        <w:tc>
          <w:tcPr>
            <w:tcW w:type="dxa" w:w="1400"/>
          </w:tcPr>
          <w:p>
            <w:r>
              <w:t xml:space="preserve">28g</w:t>
            </w:r>
          </w:p>
        </w:tc>
      </w:tr>
      <w:tr>
        <w:tc>
          <w:tcPr>
            <w:tcW w:type="dxa" w:w="1800"/>
          </w:tcPr>
          <w:p>
            <w:r>
              <w:t xml:space="preserve">Lunch</w:t>
            </w:r>
          </w:p>
        </w:tc>
        <w:tc>
          <w:tcPr>
            <w:tcW w:type="dxa" w:w="4200"/>
          </w:tcPr>
          <w:p>
            <w:r>
              <w:t xml:space="preserve">Grilled chicken breast (150g), quinoa (1 cup cooked), mixed roasted vegetables, olive oil</w:t>
            </w:r>
          </w:p>
        </w:tc>
        <w:tc>
          <w:tcPr>
            <w:tcW w:type="dxa" w:w="1600"/>
          </w:tcPr>
          <w:p>
            <w:r>
              <w:t xml:space="preserve">560 kcal</w:t>
            </w:r>
          </w:p>
        </w:tc>
        <w:tc>
          <w:tcPr>
            <w:tcW w:type="dxa" w:w="1400"/>
          </w:tcPr>
          <w:p>
            <w:r>
              <w:t xml:space="preserve">42g</w:t>
            </w:r>
          </w:p>
        </w:tc>
      </w:tr>
      <w:tr>
        <w:tc>
          <w:tcPr>
            <w:tcW w:type="dxa" w:w="1800"/>
          </w:tcPr>
          <w:p>
            <w:r>
              <w:t xml:space="preserve">Snack</w:t>
            </w:r>
          </w:p>
        </w:tc>
        <w:tc>
          <w:tcPr>
            <w:tcW w:type="dxa" w:w="4200"/>
          </w:tcPr>
          <w:p>
            <w:r>
              <w:t xml:space="preserve">Apple with 20g peanut butter</w:t>
            </w:r>
          </w:p>
        </w:tc>
        <w:tc>
          <w:tcPr>
            <w:tcW w:type="dxa" w:w="1600"/>
          </w:tcPr>
          <w:p>
            <w:r>
              <w:t xml:space="preserve">220 kcal</w:t>
            </w:r>
          </w:p>
        </w:tc>
        <w:tc>
          <w:tcPr>
            <w:tcW w:type="dxa" w:w="1400"/>
          </w:tcPr>
          <w:p>
            <w:r>
              <w:t xml:space="preserve">7g</w:t>
            </w:r>
          </w:p>
        </w:tc>
      </w:tr>
      <w:tr>
        <w:tc>
          <w:tcPr>
            <w:tcW w:type="dxa" w:w="1800"/>
          </w:tcPr>
          <w:p>
            <w:r>
              <w:t xml:space="preserve">Dinner</w:t>
            </w:r>
          </w:p>
        </w:tc>
        <w:tc>
          <w:tcPr>
            <w:tcW w:type="dxa" w:w="4200"/>
          </w:tcPr>
          <w:p>
            <w:r>
              <w:t xml:space="preserve">Baked salmon (150g), 1 cup brown rice, steamed broccoli, side salad</w:t>
            </w:r>
          </w:p>
        </w:tc>
        <w:tc>
          <w:tcPr>
            <w:tcW w:type="dxa" w:w="1600"/>
          </w:tcPr>
          <w:p>
            <w:r>
              <w:t xml:space="preserve">610 kcal</w:t>
            </w:r>
          </w:p>
        </w:tc>
        <w:tc>
          <w:tcPr>
            <w:tcW w:type="dxa" w:w="1400"/>
          </w:tcPr>
          <w:p>
            <w:r>
              <w:t xml:space="preserve">40g</w:t>
            </w:r>
          </w:p>
        </w:tc>
      </w:tr>
      <w:tr>
        <w:tc>
          <w:tcPr>
            <w:tcW w:type="dxa" w:w="1800"/>
          </w:tcPr>
          <w:p>
            <w:r>
              <w:t xml:space="preserve">Evening Snack</w:t>
            </w:r>
          </w:p>
        </w:tc>
        <w:tc>
          <w:tcPr>
            <w:tcW w:type="dxa" w:w="4200"/>
          </w:tcPr>
          <w:p>
            <w:r>
              <w:t xml:space="preserve">Small handful of walnuts (30g) and a piece of dark chocolate</w:t>
            </w:r>
          </w:p>
        </w:tc>
        <w:tc>
          <w:tcPr>
            <w:tcW w:type="dxa" w:w="1600"/>
          </w:tcPr>
          <w:p>
            <w:r>
              <w:t xml:space="preserve">210 kcal</w:t>
            </w:r>
          </w:p>
        </w:tc>
        <w:tc>
          <w:tcPr>
            <w:tcW w:type="dxa" w:w="1400"/>
          </w:tcPr>
          <w:p>
            <w:r>
              <w:t xml:space="preserve">5g</w:t>
            </w:r>
          </w:p>
        </w:tc>
      </w:tr>
    </w:tbl>
    <w:p>
      <w:pPr>
        <w:spacing w:after="150"/>
      </w:pPr>
      <w:r>
        <w:t xml:space="preserve"/>
      </w:r>
    </w:p>
    <w:p>
      <w:pPr>
        <w:pStyle w:val="Heading2"/>
        <w:spacing w:after="150" w:before="300"/>
      </w:pPr>
      <w:r>
        <w:t xml:space="preserve">5.3 Reading Nutrition Labels</w:t>
      </w:r>
    </w:p>
    <w:p>
      <w:pPr>
        <w:pStyle w:val="ListParagraph"/>
        <w:numPr>
          <w:ilvl w:val="0"/>
          <w:numId w:val="1"/>
        </w:numPr>
        <w:spacing w:after="80"/>
      </w:pPr>
      <w:r>
        <w:t xml:space="preserve">Check the serving size first — all listed values are per serving, and many packages contain multiple servings</w:t>
      </w:r>
    </w:p>
    <w:p>
      <w:pPr>
        <w:pStyle w:val="ListParagraph"/>
        <w:numPr>
          <w:ilvl w:val="0"/>
          <w:numId w:val="1"/>
        </w:numPr>
        <w:spacing w:after="80"/>
      </w:pPr>
      <w:r>
        <w:t xml:space="preserve">Percent Daily Value (%DV) is based on a 2,000-calorie reference diet; 5% DV or less is considered low, 20% DV or more is considered high</w:t>
      </w:r>
    </w:p>
    <w:p>
      <w:pPr>
        <w:pStyle w:val="ListParagraph"/>
        <w:numPr>
          <w:ilvl w:val="0"/>
          <w:numId w:val="1"/>
        </w:numPr>
        <w:spacing w:after="80"/>
      </w:pPr>
      <w:r>
        <w:t xml:space="preserve">Added sugars are now listed separately from total sugars on most modern labels, distinguishing them from naturally occurring sugars (e.g., in fruit or dairy)</w:t>
      </w:r>
    </w:p>
    <w:p>
      <w:pPr>
        <w:pStyle w:val="ListParagraph"/>
        <w:numPr>
          <w:ilvl w:val="0"/>
          <w:numId w:val="1"/>
        </w:numPr>
        <w:spacing w:after="80"/>
      </w:pPr>
      <w:r>
        <w:t xml:space="preserve">Ingredient lists are ordered by weight, from most to least, which can reveal when a product is primarily composed of refined flour or sugar despite marketing claims</w:t>
      </w:r>
    </w:p>
    <w:p>
      <w:pPr>
        <w:pStyle w:val="Heading1"/>
        <w:spacing w:after="200" w:before="400"/>
      </w:pPr>
      <w:r>
        <w:t xml:space="preserve">Chapter 6: Special Populations and Considerations</w:t>
      </w:r>
    </w:p>
    <w:p>
      <w:pPr>
        <w:pStyle w:val="Heading2"/>
        <w:spacing w:after="150" w:before="300"/>
      </w:pPr>
      <w:r>
        <w:t xml:space="preserve">6.1 Nutrition During Pregnancy</w:t>
      </w:r>
    </w:p>
    <w:p>
      <w:pPr>
        <w:spacing w:after="150"/>
      </w:pPr>
      <w:r>
        <w:t xml:space="preserve">Pregnancy increases requirements for several nutrients, most notably folate (600 mcg dietary folate equivalents daily, to reduce neural tube defect risk), iron (27mg daily, nearly double the standard requirement), and choline. Caloric needs increase modestly — by approximately 340 additional kcal/day in the second trimester and 450 kcal/day in the third trimester — rather than the commonly misunderstood "eating for two."</w:t>
      </w:r>
    </w:p>
    <w:p>
      <w:pPr>
        <w:pStyle w:val="Heading2"/>
        <w:spacing w:after="150" w:before="300"/>
      </w:pPr>
      <w:r>
        <w:t xml:space="preserve">6.2 Nutrition for Older Adults</w:t>
      </w:r>
    </w:p>
    <w:p>
      <w:pPr>
        <w:spacing w:after="150"/>
      </w:pPr>
      <w:r>
        <w:t xml:space="preserve">Protein needs do not decline with age and, as discussed in Section 1.2, likely increase to help counteract age-related muscle loss (sarcopenia). Older adults are also at higher risk for vitamin B12 deficiency due to reduced stomach acid production, which impairs the release of B12 from food proteins, making fortified foods or supplements a reasonable consideration even when dietary intake appears adequate on paper.</w:t>
      </w:r>
    </w:p>
    <w:p>
      <w:pPr>
        <w:pStyle w:val="Heading2"/>
        <w:spacing w:after="150" w:before="300"/>
      </w:pPr>
      <w:r>
        <w:t xml:space="preserve">6.3 Athletic Performance Nutrition</w:t>
      </w:r>
    </w:p>
    <w:p>
      <w:pPr>
        <w:spacing w:after="150"/>
      </w:pPr>
      <w:r>
        <w:t xml:space="preserve">Endurance athletes benefit from carbohydrate periodization — adjusting intake based on training demands, with higher intake (up to 8–12g per kg body weight) on high-volume training days and comparatively lower intake on rest days. Protein timing, particularly consuming 20–40g of high-quality protein within a few hours of resistance training, may support muscle protein synthesis, though total daily protein intake appears to matter considerably more than precise timing for most recreational athletes.</w:t>
      </w:r>
    </w:p>
    <w:p>
      <w:pPr>
        <w:pStyle w:val="Heading1"/>
        <w:spacing w:after="200" w:before="400"/>
      </w:pPr>
      <w:r>
        <w:t xml:space="preserve">Chapter 7: Common Misconceptions</w:t>
      </w:r>
    </w:p>
    <w:p>
      <w:pPr>
        <w:pStyle w:val="ListParagraph"/>
        <w:numPr>
          <w:ilvl w:val="0"/>
          <w:numId w:val="1"/>
        </w:numPr>
        <w:spacing w:after="80"/>
      </w:pPr>
      <w:r>
        <w:t xml:space="preserve">"Carbs make you fat": Weight gain results from sustained caloric surplus regardless of macronutrient source; carbohydrates themselves are not inherently fattening.</w:t>
      </w:r>
    </w:p>
    <w:p>
      <w:pPr>
        <w:pStyle w:val="ListParagraph"/>
        <w:numPr>
          <w:ilvl w:val="0"/>
          <w:numId w:val="1"/>
        </w:numPr>
        <w:spacing w:after="80"/>
      </w:pPr>
      <w:r>
        <w:t xml:space="preserve">"Skipping meals slows metabolism": Short-term meal timing has minimal measurable effect on BMR in most studies; total daily intake matters more than meal frequency for most people.</w:t>
      </w:r>
    </w:p>
    <w:p>
      <w:pPr>
        <w:pStyle w:val="ListParagraph"/>
        <w:numPr>
          <w:ilvl w:val="0"/>
          <w:numId w:val="1"/>
        </w:numPr>
        <w:spacing w:after="80"/>
      </w:pPr>
      <w:r>
        <w:t xml:space="preserve">"Detox diets remove toxins": The liver and kidneys perform this function continuously; no rigorous evidence supports commercial detox products accelerating this process.</w:t>
      </w:r>
    </w:p>
    <w:p>
      <w:pPr>
        <w:pStyle w:val="ListParagraph"/>
        <w:numPr>
          <w:ilvl w:val="0"/>
          <w:numId w:val="1"/>
        </w:numPr>
        <w:spacing w:after="80"/>
      </w:pPr>
      <w:r>
        <w:t xml:space="preserve">"Natural sugar is fundamentally different from added sugar, metabolically": Sucrose and fructose are metabolized similarly regardless of source, though whole foods containing sugar typically also provide fiber, water, and micronutrients that moderate the overall metabolic response.</w:t>
      </w:r>
    </w:p>
    <w:p>
      <w:pPr>
        <w:pStyle w:val="ListParagraph"/>
        <w:numPr>
          <w:ilvl w:val="0"/>
          <w:numId w:val="1"/>
        </w:numPr>
        <w:spacing w:after="80"/>
      </w:pPr>
      <w:r>
        <w:t xml:space="preserve">"All calories are metabolically identical": While the thermodynamic calorie content is fixed, food source can affect satiety, nutrient absorption, and the thermic effect of food, meaning 200 kcal of almonds and 200 kcal of candy can affect hunger and overall intake differently despite equal caloric value.</w:t>
      </w:r>
    </w:p>
    <w:p>
      <w:pPr>
        <w:pStyle w:val="Heading1"/>
        <w:spacing w:after="200" w:before="400"/>
      </w:pPr>
      <w:r>
        <w:t xml:space="preserve">Chapter 8: Digestive Health and the Gut Microbiome</w:t>
      </w:r>
    </w:p>
    <w:p>
      <w:pPr>
        <w:pStyle w:val="Heading2"/>
        <w:spacing w:after="150" w:before="300"/>
      </w:pPr>
      <w:r>
        <w:t xml:space="preserve">8.1 The Role of Dietary Fiber</w:t>
      </w:r>
    </w:p>
    <w:p>
      <w:pPr>
        <w:spacing w:after="150"/>
      </w:pPr>
      <w:r>
        <w:t xml:space="preserve">The human gut hosts trillions of microorganisms collectively known as the gut microbiome, which play roles in digestion, immune regulation, and even neurotransmitter production. Dietary fiber, particularly fermentable fiber found in foods like onions, garlic, oats, and legumes, serves as a primary fuel source for beneficial gut bacteria, which ferment it into short-chain fatty acids (SCFAs) such as butyrate. Butyrate is the preferred energy source for colon cells and has been associated with reduced intestinal inflammation. The Academy of Nutrition and Dietetics recommends 25–38 grams of total fiber daily for adults, a target the majority of adults in industrialized countries do not meet, typically consuming closer to 15 grams per day.</w:t>
      </w:r>
    </w:p>
    <w:p>
      <w:pPr>
        <w:pStyle w:val="Heading2"/>
        <w:spacing w:after="150" w:before="300"/>
      </w:pPr>
      <w:r>
        <w:t xml:space="preserve">8.2 Prebiotics, Probiotics, and Fermented Foods</w:t>
      </w:r>
    </w:p>
    <w:p>
      <w:pPr>
        <w:spacing w:after="150"/>
      </w:pPr>
      <w:r>
        <w:t xml:space="preserve">Prebiotics are non-digestible food components, primarily certain fibers, that selectively promote the growth of beneficial gut bacteria. Probiotics are live microorganisms that, when consumed in adequate amounts, confer a health benefit — found in fermented foods such as yogurt with live active cultures, kefir, sauerkraut, kimchi, and miso, or in supplement form. Evidence for specific probiotic strains varies considerably by health outcome; for example, certain Lactobacillus and Bifidobacterium strains have reasonably strong evidence for reducing antibiotic-associated diarrhea, while evidence for general "gut health" claims on many commercial probiotic products remains limited and strain-specific.</w:t>
      </w:r>
    </w:p>
    <w:p>
      <w:pPr>
        <w:pStyle w:val="Heading2"/>
        <w:spacing w:after="150" w:before="300"/>
      </w:pPr>
      <w:r>
        <w:t xml:space="preserve">8.3 Common Digestive Sensitivities</w:t>
      </w:r>
    </w:p>
    <w:p>
      <w:pPr>
        <w:spacing w:after="150"/>
      </w:pPr>
      <w:r>
        <w:t xml:space="preserve">Lactose intolerance, resulting from reduced production of the enzyme lactase after childhood, affects a majority of the global adult population to varying degrees, with prevalence highest in populations of East Asian, West African, and Native American descent, and lowest in populations of Northern European descent. This is distinct from a milk allergy, which involves an immune response to milk proteins rather than a digestive enzyme deficiency. Non-celiac gluten sensitivity, distinct from celiac disease (an autoimmune condition) and wheat allergy, remains a less well-characterized condition, though a subset of individuals do report symptomatic improvement on a gluten-reduced diet even in the absence of celiac disease.</w:t>
      </w:r>
    </w:p>
    <w:p>
      <w:pPr>
        <w:pStyle w:val="Heading1"/>
        <w:spacing w:after="200" w:before="400"/>
      </w:pPr>
      <w:r>
        <w:t xml:space="preserve">Chapter 9: Nutrition Labels and Marketing Claims Decoded</w:t>
      </w:r>
    </w:p>
    <w:p>
      <w:pPr>
        <w:pStyle w:val="Heading2"/>
        <w:spacing w:after="150" w:before="300"/>
      </w:pPr>
      <w:r>
        <w:t xml:space="preserve">9.1 Regulated Claims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3B6E45" w:val="clear"/>
          </w:tcPr>
          <w:p>
            <w:r>
              <w:rPr>
                <w:b/>
                <w:bCs/>
                <w:color w:val="FFFFFF"/>
              </w:rPr>
              <w:t xml:space="preserve">Claim</w:t>
            </w:r>
          </w:p>
        </w:tc>
        <w:tc>
          <w:tcPr>
            <w:tcW w:type="dxa" w:w="5800"/>
            <w:shd w:fill="3B6E45" w:val="clear"/>
          </w:tcPr>
          <w:p>
            <w:r>
              <w:rPr>
                <w:b/>
                <w:bCs/>
                <w:color w:val="FFFFFF"/>
              </w:rPr>
              <w:t xml:space="preserve">Regulatory Threshold (typical U.S. FDA definition)</w:t>
            </w:r>
          </w:p>
        </w:tc>
      </w:tr>
      <w:tr>
        <w:tc>
          <w:tcPr>
            <w:tcW w:type="dxa" w:w="3200"/>
          </w:tcPr>
          <w:p>
            <w:r>
              <w:t xml:space="preserve">"Low fat"</w:t>
            </w:r>
          </w:p>
        </w:tc>
        <w:tc>
          <w:tcPr>
            <w:tcW w:type="dxa" w:w="5800"/>
          </w:tcPr>
          <w:p>
            <w:r>
              <w:t xml:space="preserve">3 grams of fat or less per serving</w:t>
            </w:r>
          </w:p>
        </w:tc>
      </w:tr>
      <w:tr>
        <w:tc>
          <w:tcPr>
            <w:tcW w:type="dxa" w:w="3200"/>
          </w:tcPr>
          <w:p>
            <w:r>
              <w:t xml:space="preserve">"Fat free"</w:t>
            </w:r>
          </w:p>
        </w:tc>
        <w:tc>
          <w:tcPr>
            <w:tcW w:type="dxa" w:w="5800"/>
          </w:tcPr>
          <w:p>
            <w:r>
              <w:t xml:space="preserve">Less than 0.5 grams of fat per serving</w:t>
            </w:r>
          </w:p>
        </w:tc>
      </w:tr>
      <w:tr>
        <w:tc>
          <w:tcPr>
            <w:tcW w:type="dxa" w:w="3200"/>
          </w:tcPr>
          <w:p>
            <w:r>
              <w:t xml:space="preserve">"Low sodium"</w:t>
            </w:r>
          </w:p>
        </w:tc>
        <w:tc>
          <w:tcPr>
            <w:tcW w:type="dxa" w:w="5800"/>
          </w:tcPr>
          <w:p>
            <w:r>
              <w:t xml:space="preserve">140 mg or less of sodium per serving</w:t>
            </w:r>
          </w:p>
        </w:tc>
      </w:tr>
      <w:tr>
        <w:tc>
          <w:tcPr>
            <w:tcW w:type="dxa" w:w="3200"/>
          </w:tcPr>
          <w:p>
            <w:r>
              <w:t xml:space="preserve">"Good source of [nutrient]"</w:t>
            </w:r>
          </w:p>
        </w:tc>
        <w:tc>
          <w:tcPr>
            <w:tcW w:type="dxa" w:w="5800"/>
          </w:tcPr>
          <w:p>
            <w:r>
              <w:t xml:space="preserve">10–19% of the Daily Value per serving</w:t>
            </w:r>
          </w:p>
        </w:tc>
      </w:tr>
      <w:tr>
        <w:tc>
          <w:tcPr>
            <w:tcW w:type="dxa" w:w="3200"/>
          </w:tcPr>
          <w:p>
            <w:r>
              <w:t xml:space="preserve">"Excellent source of [nutrient]"</w:t>
            </w:r>
          </w:p>
        </w:tc>
        <w:tc>
          <w:tcPr>
            <w:tcW w:type="dxa" w:w="5800"/>
          </w:tcPr>
          <w:p>
            <w:r>
              <w:t xml:space="preserve">20% or more of the Daily Value per serving</w:t>
            </w:r>
          </w:p>
        </w:tc>
      </w:tr>
      <w:tr>
        <w:tc>
          <w:tcPr>
            <w:tcW w:type="dxa" w:w="3200"/>
          </w:tcPr>
          <w:p>
            <w:r>
              <w:t xml:space="preserve">"Light" or "Lite"</w:t>
            </w:r>
          </w:p>
        </w:tc>
        <w:tc>
          <w:tcPr>
            <w:tcW w:type="dxa" w:w="5800"/>
          </w:tcPr>
          <w:p>
            <w:r>
              <w:t xml:space="preserve">At least 1/3 fewer calories or 50% less fat than the reference product</w:t>
            </w:r>
          </w:p>
        </w:tc>
      </w:tr>
    </w:tbl>
    <w:p>
      <w:pPr>
        <w:spacing w:after="150"/>
      </w:pPr>
      <w:r>
        <w:t xml:space="preserve"/>
      </w:r>
    </w:p>
    <w:p>
      <w:pPr>
        <w:pStyle w:val="Heading2"/>
        <w:spacing w:after="150" w:before="300"/>
      </w:pPr>
      <w:r>
        <w:t xml:space="preserve">9.2 Unregulated or Loosely Regulated Terms</w:t>
      </w:r>
    </w:p>
    <w:p>
      <w:pPr>
        <w:spacing w:after="150"/>
      </w:pPr>
      <w:r>
        <w:t xml:space="preserve">Terms such as "natural," "superfood," "detox," and "immune-boosting" carry no standardized regulatory definition in most jurisdictions and should be interpreted with caution. "Natural," for instance, has no FDA-enforced definition for most food categories and does not necessarily indicate anything about nutritional quality, processing method, or absence of pesticides. "Superfood" is a marketing term with no scientific or regulatory basis; while foods commonly labeled as such (blueberries, kale, salmon) are often nutrient-dense, the term itself implies an exaggerated singular benefit that is rarely supported by evidence at typical consumption levels.</w:t>
      </w:r>
    </w:p>
    <w:p>
      <w:pPr>
        <w:pStyle w:val="Heading1"/>
        <w:spacing w:after="200" w:before="400"/>
      </w:pPr>
      <w:r>
        <w:t xml:space="preserve">Chapter 10: Practical Grocery and Budget Strategies</w:t>
      </w:r>
    </w:p>
    <w:p>
      <w:pPr>
        <w:pStyle w:val="ListParagraph"/>
        <w:numPr>
          <w:ilvl w:val="0"/>
          <w:numId w:val="1"/>
        </w:numPr>
        <w:spacing w:after="80"/>
      </w:pPr>
      <w:r>
        <w:t xml:space="preserve">Buy in-season produce, which is typically both less expensive and higher in flavor and nutrient content than off-season imported alternatives</w:t>
      </w:r>
    </w:p>
    <w:p>
      <w:pPr>
        <w:pStyle w:val="ListParagraph"/>
        <w:numPr>
          <w:ilvl w:val="0"/>
          <w:numId w:val="1"/>
        </w:numPr>
        <w:spacing w:after="80"/>
      </w:pPr>
      <w:r>
        <w:t xml:space="preserve">Frozen fruits and vegetables are flash-frozen at peak ripeness and are nutritionally comparable to fresh in most studies, often at a lower cost per serving</w:t>
      </w:r>
    </w:p>
    <w:p>
      <w:pPr>
        <w:pStyle w:val="ListParagraph"/>
        <w:numPr>
          <w:ilvl w:val="0"/>
          <w:numId w:val="1"/>
        </w:numPr>
        <w:spacing w:after="80"/>
      </w:pPr>
      <w:r>
        <w:t xml:space="preserve">Canned beans and legumes offer a low-cost, shelf-stable protein and fiber source; rinsing canned beans reduces sodium content by approximately 40%</w:t>
      </w:r>
    </w:p>
    <w:p>
      <w:pPr>
        <w:pStyle w:val="ListParagraph"/>
        <w:numPr>
          <w:ilvl w:val="0"/>
          <w:numId w:val="1"/>
        </w:numPr>
        <w:spacing w:after="80"/>
      </w:pPr>
      <w:r>
        <w:t xml:space="preserve">Bulk bins for grains, legumes, and nuts typically cost 20–40% less per unit than pre-packaged equivalents</w:t>
      </w:r>
    </w:p>
    <w:p>
      <w:pPr>
        <w:pStyle w:val="ListParagraph"/>
        <w:numPr>
          <w:ilvl w:val="0"/>
          <w:numId w:val="1"/>
        </w:numPr>
        <w:spacing w:after="80"/>
      </w:pPr>
      <w:r>
        <w:t xml:space="preserve">Batch cooking proteins and grains on a designated day reduces reliance on higher-cost convenience or takeout meals during the week</w:t>
      </w:r>
    </w:p>
    <w:p>
      <w:pPr>
        <w:pStyle w:val="ListParagraph"/>
        <w:numPr>
          <w:ilvl w:val="0"/>
          <w:numId w:val="1"/>
        </w:numPr>
        <w:spacing w:after="80"/>
      </w:pPr>
      <w:r>
        <w:t xml:space="preserve">Store-brand items are frequently produced in the same facilities as name-brand products and must meet the same nutritional labeling standards, often at a 15–30% cost savings</w:t>
      </w:r>
    </w:p>
    <w:p>
      <w:pPr>
        <w:pStyle w:val="Heading1"/>
        <w:spacing w:after="200" w:before="400"/>
      </w:pPr>
      <w:r>
        <w:t xml:space="preserve">Chapter 11: Nutrition Myths in the Fitness Community</w:t>
      </w:r>
    </w:p>
    <w:p>
      <w:pPr>
        <w:spacing w:after="150"/>
      </w:pPr>
      <w:r>
        <w:t xml:space="preserve">Beyond the general misconceptions addressed in Chapter 7, several claims specific to fitness and bodybuilding communities warrant clarification. The notion of an "anabolic window" requiring protein intake within a narrow 30-minute post-workout period has been substantially revised by current research; while post-workout nutrition is beneficial, the effective window for protein intake to support muscle protein synthesis appears considerably broader — several hours — than earlier fitness industry claims suggested, particularly if a protein-containing meal was consumed in the hours before training.</w:t>
      </w:r>
    </w:p>
    <w:p>
      <w:pPr>
        <w:spacing w:after="150"/>
      </w:pPr>
      <w:r>
        <w:t xml:space="preserve">Similarly, the claim that eating small, frequent meals "stokes the metabolic fire" more effectively than fewer, larger meals of equal total caloric content is not well supported; total daily energy and protein intake appear to matter more than meal frequency for most metabolic and body-composition outcomes, aligning with the point made in Chapter 7 regarding meal timing generally.</w:t>
      </w:r>
    </w:p>
    <w:p>
      <w:pPr>
        <w:pStyle w:val="Heading1"/>
        <w:spacing w:after="200" w:before="400"/>
      </w:pPr>
      <w:r>
        <w:t xml:space="preserve">Chapter 12: Nutrition Across Dietary Patterns</w:t>
      </w:r>
    </w:p>
    <w:p>
      <w:pPr>
        <w:pStyle w:val="Heading2"/>
        <w:spacing w:after="150" w:before="300"/>
      </w:pPr>
      <w:r>
        <w:t xml:space="preserve">12.1 Mediterranean Pattern</w:t>
      </w:r>
    </w:p>
    <w:p>
      <w:pPr>
        <w:spacing w:after="150"/>
      </w:pPr>
      <w:r>
        <w:t xml:space="preserve">The Mediterranean dietary pattern emphasizes vegetables, fruits, whole grains, legumes, nuts, and olive oil as the primary fat source, with moderate fish and poultry, limited red meat, and wine in moderation with meals (optional, and not recommended for those who do not already drink). This pattern has one of the largest bodies of supporting evidence among dietary patterns for cardiovascular risk reduction, largely attributed to its favorable fat profile, high fiber and polyphenol content, and relatively low intake of processed and red meat.</w:t>
      </w:r>
    </w:p>
    <w:p>
      <w:pPr>
        <w:pStyle w:val="Heading2"/>
        <w:spacing w:after="150" w:before="300"/>
      </w:pPr>
      <w:r>
        <w:t xml:space="preserve">12.2 DASH Pattern</w:t>
      </w:r>
    </w:p>
    <w:p>
      <w:pPr>
        <w:spacing w:after="150"/>
      </w:pPr>
      <w:r>
        <w:t xml:space="preserve">The Dietary Approaches to Stop Hypertension (DASH) pattern was specifically developed and studied for blood pressure reduction, emphasizing fruits, vegetables, whole grains, and low-fat dairy, while limiting sodium (typically to 2,300mg/day in the standard version, or 1,500mg/day in the lower-sodium version), saturated fat, and added sugar. Clinical trials of the DASH pattern have demonstrated blood pressure reductions comparable to some first-line antihypertensive medications in individuals with elevated blood pressure, though it is intended to complement, not replace, medical treatment where prescribed.</w:t>
      </w:r>
    </w:p>
    <w:p>
      <w:pPr>
        <w:pStyle w:val="Heading2"/>
        <w:spacing w:after="150" w:before="300"/>
      </w:pPr>
      <w:r>
        <w:t xml:space="preserve">12.3 Plant-Based and Vegetarian Patterns</w:t>
      </w:r>
    </w:p>
    <w:p>
      <w:pPr>
        <w:spacing w:after="150"/>
      </w:pPr>
      <w:r>
        <w:t xml:space="preserve">Well-planned vegetarian and vegan diets can meet nutritional needs at all life stages, according to position statements from major dietetic associations, provided attention is paid to nutrients of concern: vitamin B12 (discussed in Section 2.2), iron (non-heme iron from plants is less bioavailable than heme iron from meat, though pairing with vitamin C improves absorption, as discussed in Section 2.2), omega-3 fatty acids (discussed in Section 1.3), zinc, calcium, and iodine for those avoiding dairy and iodized salt.</w:t>
      </w:r>
    </w:p>
    <w:p>
      <w:pPr>
        <w:pStyle w:val="Heading2"/>
        <w:spacing w:after="150" w:before="300"/>
      </w:pPr>
      <w:r>
        <w:t xml:space="preserve">12.4 Low-Carbohydrate Patterns</w:t>
      </w:r>
    </w:p>
    <w:p>
      <w:pPr>
        <w:spacing w:after="150"/>
      </w:pPr>
      <w:r>
        <w:t xml:space="preserve">Low-carbohydrate diets (typically defined as under 130g carbohydrate per day, with ketogenic diets further restricting to roughly 20–50g to induce nutritional ketosis) can be effective for short- to medium-term weight loss and, in some individuals, for glycemic control. Long-term adherence tends to be a larger predictor of sustained outcomes than the specific macronutrient ratio chosen, according to comparative trials, meaning the "best" diet for an individual is often the one that best fits their preferences, culture, and lifestyle and that they can sustain consistently over time.</w:t>
      </w:r>
    </w:p>
    <w:p>
      <w:pPr>
        <w:pStyle w:val="Heading1"/>
        <w:spacing w:after="200" w:before="400"/>
      </w:pPr>
      <w:r>
        <w:t xml:space="preserve">Chapter 13: Cooking Methods and Nutrient Retention</w:t>
      </w:r>
    </w:p>
    <w:p>
      <w:pPr>
        <w:spacing w:after="150"/>
      </w:pPr>
      <w:r>
        <w:t xml:space="preserve">How food is prepared can meaningfully affect its final nutrient content. Water-soluble vitamins, particularly vitamin C and several B vitamins, are prone to leaching into cooking water and to heat degradation; steaming, microwaving, and stir-frying generally preserve more of these nutrients than boiling, where nutrients can be lost both to heat and to the discarded cooking water. Roasting and grilling at high temperatures can improve the palatability and digestibility of many vegetables and can increase the bioavailability of certain compounds (cooked tomatoes, for example, provide more absorbable lycopene than raw), while excessive charring of meats has been associated with the formation of compounds such as heterocyclic amines, which are best minimized by avoiding direct high-heat charring and trimming any blackened portions.</w:t>
      </w:r>
    </w:p>
    <w:p>
      <w:pPr>
        <w:spacing w:after="150"/>
      </w:pPr>
      <w:r>
        <w:t xml:space="preserve">Fat-soluble vitamins and carotenoids (such as beta-carotene and lycopene) are generally better absorbed when the food is consumed with some dietary fat, which is one reason a salad dressed with olive oil, or vegetables roasted in a small amount of oil, may deliver more usable nutrition than the same vegetables eaten completely fat-free.</w:t>
      </w:r>
    </w:p>
    <w:p>
      <w:pPr>
        <w:pStyle w:val="Heading1"/>
        <w:spacing w:after="200" w:before="400"/>
      </w:pPr>
      <w:r>
        <w:t xml:space="preserve">Chapter 14: Building Sustainable Habits</w:t>
      </w:r>
    </w:p>
    <w:p>
      <w:pPr>
        <w:spacing w:after="150"/>
      </w:pPr>
      <w:r>
        <w:t xml:space="preserve">Long-term dietary change is more strongly influenced by environment design, habit formation, and realistic goal-setting than by short-term willpower or restrictive rules, according to behavioral nutrition research. Practical strategies include keeping minimally processed foods visible and accessible (on the counter, at eye level in the refrigerator) while keeping highly processed, calorie-dense snack foods less visible or out of the house entirely; preparing food in advance during times of higher motivation and lower time pressure; and setting process-based goals ("cook at home four nights this week") rather than purely outcome-based goals ("lose five pounds"), since process goals are within the individual's direct control and provide more frequent opportunities for a sense of accomplishment.</w:t>
      </w:r>
    </w:p>
    <w:p>
      <w:pPr>
        <w:spacing w:after="150"/>
      </w:pPr>
      <w:r>
        <w:t xml:space="preserve">Research on habit formation suggests that new behaviors become more automatic with consistent repetition in a stable context, with estimates for habit automaticity varying widely by individual and behavior complexity — commonly cited study averages fall somewhere in the range of two to three months of consistent practice, though simpler behaviors may become habitual considerably faster and more complex ones slower. This underscores the value of patience and consistency over dramatic short-term dietary overhauls, which show higher rates of relapse in longitudinal studies.</w:t>
      </w:r>
    </w:p>
    <w:p>
      <w:pPr>
        <w:pStyle w:val="Heading1"/>
        <w:spacing w:after="200" w:before="400"/>
      </w:pPr>
      <w:r>
        <w:t xml:space="preserve">Appendix: Glossary of Terms</w:t>
      </w:r>
    </w:p>
    <w:p>
      <w:pPr>
        <w:pStyle w:val="ListParagraph"/>
        <w:numPr>
          <w:ilvl w:val="0"/>
          <w:numId w:val="1"/>
        </w:numPr>
        <w:spacing w:after="80"/>
      </w:pPr>
      <w:r>
        <w:t xml:space="preserve">BMR (Basal Metabolic Rate): Energy expended at complete rest to maintain basic physiological function</w:t>
      </w:r>
    </w:p>
    <w:p>
      <w:pPr>
        <w:pStyle w:val="ListParagraph"/>
        <w:numPr>
          <w:ilvl w:val="0"/>
          <w:numId w:val="1"/>
        </w:numPr>
        <w:spacing w:after="80"/>
      </w:pPr>
      <w:r>
        <w:t xml:space="preserve">TDEE (Total Daily Energy Expenditure): Total calories burned in a day, including activity</w:t>
      </w:r>
    </w:p>
    <w:p>
      <w:pPr>
        <w:pStyle w:val="ListParagraph"/>
        <w:numPr>
          <w:ilvl w:val="0"/>
          <w:numId w:val="1"/>
        </w:numPr>
        <w:spacing w:after="80"/>
      </w:pPr>
      <w:r>
        <w:t xml:space="preserve">Glycemic Index (GI): A ranking of carbohydrate-containing foods by their effect on blood glucose relative to a reference food</w:t>
      </w:r>
    </w:p>
    <w:p>
      <w:pPr>
        <w:pStyle w:val="ListParagraph"/>
        <w:numPr>
          <w:ilvl w:val="0"/>
          <w:numId w:val="1"/>
        </w:numPr>
        <w:spacing w:after="80"/>
      </w:pPr>
      <w:r>
        <w:t xml:space="preserve">Complete Protein: A protein source containing all nine essential amino acids in sufficient quantities</w:t>
      </w:r>
    </w:p>
    <w:p>
      <w:pPr>
        <w:pStyle w:val="ListParagraph"/>
        <w:numPr>
          <w:ilvl w:val="0"/>
          <w:numId w:val="1"/>
        </w:numPr>
        <w:spacing w:after="80"/>
      </w:pPr>
      <w:r>
        <w:t xml:space="preserve">RDA (Recommended Dietary Allowance): The average daily intake sufficient to meet the nutrient needs of nearly all healthy individuals in a population group</w:t>
      </w:r>
    </w:p>
    <w:p>
      <w:pPr>
        <w:pStyle w:val="ListParagraph"/>
        <w:numPr>
          <w:ilvl w:val="0"/>
          <w:numId w:val="1"/>
        </w:numPr>
        <w:spacing w:after="80"/>
      </w:pPr>
      <w:r>
        <w:t xml:space="preserve">SCFA (Short-Chain Fatty Acid): A byproduct of fiber fermentation by gut bacteria, including butyrate, propionate, and acetate</w:t>
      </w:r>
    </w:p>
    <w:p>
      <w:pPr>
        <w:pStyle w:val="ListParagraph"/>
        <w:numPr>
          <w:ilvl w:val="0"/>
          <w:numId w:val="1"/>
        </w:numPr>
        <w:spacing w:after="80"/>
      </w:pPr>
      <w:r>
        <w:t xml:space="preserve">Bioavailability: The proportion of a nutrient that is absorbed and available for use by the body after consumption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2026-08-06T05:39:48.488Z</dcterms:created>
  <dcterms:modified xsi:type="dcterms:W3CDTF">2026-08-06T05:39:48.488Z</dcterms:modified>
</cp:coreProperties>
</file>

<file path=docProps/custom.xml><?xml version="1.0" encoding="utf-8"?>
<Properties xmlns="http://schemas.openxmlformats.org/officeDocument/2006/custom-properties" xmlns:vt="http://schemas.openxmlformats.org/officeDocument/2006/docPropsVTypes"/>
</file>