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26.12.2017 № 122-k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Radkovsky P.S.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Radkovsky Peter Sergeevich , administrator,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4500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