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BBR-FC vs BBR-v3 — Fairness Improvement Analysis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Jain’s Fairness Index Co-existence with CUBIC on a WiFi-6 Testbed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 = 2, 4, 6, 8, 10, 12, 15, 20 stream pairs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 Per-Operating-Point Breakdown</w:t>
      </w:r>
    </w:p>
    <w:p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00"/>
        <w:gridCol w:w="1300"/>
        <w:gridCol w:w="1700"/>
        <w:gridCol w:w="1760"/>
        <w:gridCol w:w="2100"/>
      </w:tblGrid>
      <w:tr>
        <w:trPr>
          <w:tblHeader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BBR-v3
JFI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BBR-FC
JFI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Absolute Δ
(FC − v3)</w:t>
            </w:r>
          </w:p>
        </w:tc>
        <w:tc>
          <w:tcPr>
            <w:tcW w:type="dxa" w:w="1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Relative
Improvement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Winner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0.824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0.8408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+0.017</w:t>
            </w:r>
          </w:p>
        </w:tc>
        <w:tc>
          <w:tcPr>
            <w:tcW w:type="dxa" w:w="1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+2.1%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BBR-FC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0.866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0.9757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+0.110</w:t>
            </w:r>
          </w:p>
        </w:tc>
        <w:tc>
          <w:tcPr>
            <w:tcW w:type="dxa" w:w="1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+12.7%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BBR-FC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0.680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0.9384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+0.258</w:t>
            </w:r>
          </w:p>
        </w:tc>
        <w:tc>
          <w:tcPr>
            <w:tcW w:type="dxa" w:w="1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+37.9%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BBR-FC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0.915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0.8917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−0.023</w:t>
            </w:r>
          </w:p>
        </w:tc>
        <w:tc>
          <w:tcPr>
            <w:tcW w:type="dxa" w:w="1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−2.5%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BBR-v3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0.952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0.9076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−0.044</w:t>
            </w:r>
          </w:p>
        </w:tc>
        <w:tc>
          <w:tcPr>
            <w:tcW w:type="dxa" w:w="1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−4.6%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BBR-v3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0.935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0.8433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−0.092</w:t>
            </w:r>
          </w:p>
        </w:tc>
        <w:tc>
          <w:tcPr>
            <w:tcW w:type="dxa" w:w="1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−9.8%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BBR-v3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0.777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0.9222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+0.145</w:t>
            </w:r>
          </w:p>
        </w:tc>
        <w:tc>
          <w:tcPr>
            <w:tcW w:type="dxa" w:w="1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+18.7%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BBR-FC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0.609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0.7032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+0.094</w:t>
            </w:r>
          </w:p>
        </w:tc>
        <w:tc>
          <w:tcPr>
            <w:tcW w:type="dxa" w:w="1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+15.4%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BBR-FC</w:t>
            </w:r>
          </w:p>
        </w:tc>
      </w:tr>
    </w:tbl>
    <w:p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after="30" w:before="3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Δ = BBR-FC JFI − BBR-v3 JFI. Positive values indicate BBR-FC advantage; negative values indicate BBR-v3 advantage.</w:t>
      </w:r>
    </w:p>
    <w:p>
      <w:pPr>
        <w:spacing w:after="30" w:before="3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JFI = Jain’s Fairness Index. Range: 0 (fully unfair) to 1.0 (perfectly fair).</w:t>
      </w:r>
    </w:p>
    <w:p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 Aggregate Summary Statistics</w:t>
      </w:r>
    </w:p>
    <w:p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60"/>
        <w:gridCol w:w="2100"/>
        <w:gridCol w:w="2100"/>
      </w:tblGrid>
      <w:tr>
        <w:trPr>
          <w:tblHeader/>
        </w:trPr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Metric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BBR-v3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BBR-FC</w:t>
            </w:r>
          </w:p>
        </w:tc>
      </w:tr>
      <w:tr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Mean JFI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0.8198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0.8779</w:t>
            </w:r>
          </w:p>
        </w:tc>
      </w:tr>
      <w:tr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Median JFI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0.8455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0.8975</w:t>
            </w:r>
          </w:p>
        </w:tc>
      </w:tr>
      <w:tr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Minimum JFI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0.609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0.7032</w:t>
            </w:r>
          </w:p>
        </w:tc>
      </w:tr>
      <w:tr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Maximum JFI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0.952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0.9757</w:t>
            </w:r>
          </w:p>
        </w:tc>
      </w:tr>
      <w:tr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Std Dev (JFI)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0.1106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0.0807</w:t>
            </w:r>
          </w:p>
        </w:tc>
      </w:tr>
      <w:tr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Overall Mean Improvement (BBR-FC over BBR-v3)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+7.1%</w:t>
            </w:r>
          </w:p>
        </w:tc>
      </w:tr>
    </w:tbl>
    <w:p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 Key Findings</w:t>
      </w:r>
    </w:p>
    <w:p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3.1  Overall Mean Improvement</w:t>
      </w:r>
    </w:p>
    <w:p>
      <w:pPr>
        <w:spacing w:after="60" w:before="6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BBR-FC achieves a mean JFI of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0.878</w:t>
      </w:r>
      <w:r>
        <w:rPr>
          <w:rFonts w:ascii="Arial" w:cs="Arial" w:eastAsia="Arial" w:hAnsi="Arial"/>
          <w:sz w:val="20"/>
          <w:szCs w:val="20"/>
        </w:rPr>
        <w:t xml:space="preserve"> across all eight stream-pair counts (N = 2–20), compared to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0.820</w:t>
      </w:r>
      <w:r>
        <w:rPr>
          <w:rFonts w:ascii="Arial" w:cs="Arial" w:eastAsia="Arial" w:hAnsi="Arial"/>
          <w:sz w:val="20"/>
          <w:szCs w:val="20"/>
        </w:rPr>
        <w:t xml:space="preserve"> for BBR-v3. This represents an absolute improvement of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+0.058</w:t>
      </w:r>
      <w:r>
        <w:rPr>
          <w:rFonts w:ascii="Arial" w:cs="Arial" w:eastAsia="Arial" w:hAnsi="Arial"/>
          <w:sz w:val="20"/>
          <w:szCs w:val="20"/>
        </w:rPr>
        <w:t xml:space="preserve"> and a relative gain of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+7.1%</w:t>
      </w:r>
      <w:r>
        <w:rPr>
          <w:rFonts w:ascii="Arial" w:cs="Arial" w:eastAsia="Arial" w:hAnsi="Arial"/>
          <w:sz w:val="20"/>
          <w:szCs w:val="20"/>
        </w:rPr>
        <w:t xml:space="preserve"> averaged across all operating points, with BBR-FC winning at six of the eight evaluated stream counts.</w:t>
      </w:r>
    </w:p>
    <w:p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3.2  Fairness Consistency — Variability Reduction</w:t>
      </w:r>
    </w:p>
    <w:p>
      <w:pPr>
        <w:spacing w:after="60" w:before="6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The standard deviation of JFI across the eight stream counts drops from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0.1106</w:t>
      </w:r>
      <w:r>
        <w:rPr>
          <w:rFonts w:ascii="Arial" w:cs="Arial" w:eastAsia="Arial" w:hAnsi="Arial"/>
          <w:sz w:val="20"/>
          <w:szCs w:val="20"/>
        </w:rPr>
        <w:t xml:space="preserve"> (BBR-v3) to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0.0807</w:t>
      </w:r>
      <w:r>
        <w:rPr>
          <w:rFonts w:ascii="Arial" w:cs="Arial" w:eastAsia="Arial" w:hAnsi="Arial"/>
          <w:sz w:val="20"/>
          <w:szCs w:val="20"/>
        </w:rPr>
        <w:t xml:space="preserve"> (BBR-FC), representing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27% reduction in JFI variability</w:t>
      </w:r>
      <w:r>
        <w:rPr>
          <w:rFonts w:ascii="Arial" w:cs="Arial" w:eastAsia="Arial" w:hAnsi="Arial"/>
          <w:sz w:val="20"/>
          <w:szCs w:val="20"/>
        </w:rPr>
        <w:t xml:space="preserve">. BBR-FC’s fairness is therefore not only higher on average but significantly more stable and predictable as load scales, which is a desirable property for a deployed congestion control algorithm.</w:t>
      </w:r>
    </w:p>
    <w:p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3.3  Worst-Case Floor Improvement</w:t>
      </w:r>
    </w:p>
    <w:p>
      <w:pPr>
        <w:spacing w:after="60" w:before="6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BBR-v3’s worst-case fairness 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0.609</w:t>
      </w:r>
      <w:r>
        <w:rPr>
          <w:rFonts w:ascii="Arial" w:cs="Arial" w:eastAsia="Arial" w:hAnsi="Arial"/>
          <w:sz w:val="20"/>
          <w:szCs w:val="20"/>
        </w:rPr>
        <w:t xml:space="preserve"> at N = 20, while BBR-FC’s worst case 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0.703</w:t>
      </w:r>
      <w:r>
        <w:rPr>
          <w:rFonts w:ascii="Arial" w:cs="Arial" w:eastAsia="Arial" w:hAnsi="Arial"/>
          <w:sz w:val="20"/>
          <w:szCs w:val="20"/>
        </w:rPr>
        <w:t xml:space="preserve"> at the same operating point —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+15.4% improvement in the worst operating point</w:t>
      </w:r>
      <w:r>
        <w:rPr>
          <w:rFonts w:ascii="Arial" w:cs="Arial" w:eastAsia="Arial" w:hAnsi="Arial"/>
          <w:sz w:val="20"/>
          <w:szCs w:val="20"/>
        </w:rPr>
        <w:t xml:space="preserve">. This raised floor matters for worst-case QoS guarantees in dense WiFi-6 deployments.</w:t>
      </w:r>
    </w:p>
    <w:p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3.4  Dominant Gains: N = 6 and N = 15</w:t>
      </w:r>
    </w:p>
    <w:p>
      <w:pPr>
        <w:spacing w:after="60" w:before="6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The largest single improvement occurs at N = 6, where BBR-v3 suffers its worst fairness collapse (JFI = 0.680) while BBR-FC sustains 0.9384 —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+0.258 absolute / +37.9% relative</w:t>
      </w:r>
      <w:r>
        <w:rPr>
          <w:rFonts w:ascii="Arial" w:cs="Arial" w:eastAsia="Arial" w:hAnsi="Arial"/>
          <w:sz w:val="20"/>
          <w:szCs w:val="20"/>
        </w:rPr>
        <w:t xml:space="preserve"> gain. The second-largest gain is at N = 15 (+0.145 absolute, +18.7% relative). Together, these two operating points account for the bulk of the overall mean improvement and represent the strongest evidence that the flow-control modification addresses a structural weakness in BBR-v3’s coexistence behaviour with CUBIC.</w:t>
      </w:r>
    </w:p>
    <w:p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3.5  BBR-v3 Advantage Zone (N = 8–12)</w:t>
      </w:r>
    </w:p>
    <w:p>
      <w:pPr>
        <w:spacing w:after="60" w:before="6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BBR-FC concedes ground only in the N = 8–12 window, with a maximum regression of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−9.8%</w:t>
      </w:r>
      <w:r>
        <w:rPr>
          <w:rFonts w:ascii="Arial" w:cs="Arial" w:eastAsia="Arial" w:hAnsi="Arial"/>
          <w:sz w:val="20"/>
          <w:szCs w:val="20"/>
        </w:rPr>
        <w:t xml:space="preserve"> at N = 12. This is a well-bounded and interpretable trade-off: absolute JFI values in that range (0.843–0.908) remain above the generally accepted fairness threshold of 0.8 throughout, indicating that the regression does not constitute a practical fairness failure.</w:t>
      </w:r>
    </w:p>
    <w:p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 Summary Statement</w:t>
      </w:r>
    </w:p>
    <w:p>
      <w:pPr>
        <w:spacing w:after="60" w:before="6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BBR-FC achieves a mean Jain’s Fairness Index of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0.878</w:t>
      </w:r>
      <w:r>
        <w:rPr>
          <w:rFonts w:ascii="Arial" w:cs="Arial" w:eastAsia="Arial" w:hAnsi="Arial"/>
          <w:sz w:val="20"/>
          <w:szCs w:val="20"/>
        </w:rPr>
        <w:t xml:space="preserve"> across N = 2–20 stream pairs competing with CUBIC in a WiFi-6 testbed, representing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7.1% improvement</w:t>
      </w:r>
      <w:r>
        <w:rPr>
          <w:rFonts w:ascii="Arial" w:cs="Arial" w:eastAsia="Arial" w:hAnsi="Arial"/>
          <w:sz w:val="20"/>
          <w:szCs w:val="20"/>
        </w:rPr>
        <w:t xml:space="preserve"> over BBR-v3 (mean JFI = 0.820), with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27% reduction in fairness variability</w:t>
      </w:r>
      <w:r>
        <w:rPr>
          <w:rFonts w:ascii="Arial" w:cs="Arial" w:eastAsia="Arial" w:hAnsi="Arial"/>
          <w:sz w:val="20"/>
          <w:szCs w:val="20"/>
        </w:rPr>
        <w:t xml:space="preserve"> and a worst-case floor improvement of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15.4%</w:t>
      </w:r>
      <w:r>
        <w:rPr>
          <w:rFonts w:ascii="Arial" w:cs="Arial" w:eastAsia="Arial" w:hAnsi="Arial"/>
          <w:sz w:val="20"/>
          <w:szCs w:val="20"/>
        </w:rPr>
        <w:t xml:space="preserve">, while conceding a modest and bounded regression of up to 9.8% in the intermediate N = 8–12 contention regime.</w:t>
      </w:r>
    </w:p>
    <w:p>
      <w:r>
        <w:rPr>
          <w:rFonts w:ascii="Arial" w:cs="Arial" w:eastAsia="Arial" w:hAnsi="Arial"/>
          <w:sz w:val="10"/>
          <w:szCs w:val="10"/>
        </w:rPr>
        <w:t xml:space="preserve"/>
      </w:r>
    </w:p>
    <w:p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Bdr>
          <w:top w:val="single" w:color="000000" w:sz="4"/>
        </w:pBdr>
        <w:spacing w:after="40" w:before="12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Source: Flent TCP upload tests on IEEE 802.11ax (WiFi-6) physical testbed. Fairness computed as Jain’s Fairness Index over combined BBR+CUBIC stream set per operating point.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Dr.Ahsan</dc:creator>
  <cp:lastModifiedBy>Un-named</cp:lastModifiedBy>
  <cp:revision>1</cp:revision>
  <dcterms:created xsi:type="dcterms:W3CDTF">2026-06-06T04:14:27Z</dcterms:created>
  <dcterms:modified xsi:type="dcterms:W3CDTF">2026-06-06T04:14:27Z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