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after="240"/>
        <w:jc w:val="center"/>
      </w:pPr>
      <w:r>
        <w:rPr>
          <w:b/>
          <w:sz w:val="32"/>
        </w:rPr>
        <w:t>Mapping the Intellectual Structure of High-Performance Sport Ecosystem Research: A Null-Calibrated Co-Word and Thematic-Evolution Analysis of Governance, Innovation and Talent Development, 2013-2025</w:t>
      </w:r>
    </w:p>
    <w:p>
      <w:pPr>
        <w:spacing w:line="480" w:lineRule="auto" w:after="0"/>
        <w:jc w:val="center"/>
      </w:pPr>
      <w:r>
        <w:rPr>
          <w:i/>
          <w:sz w:val="22"/>
        </w:rPr>
        <w:t>[Author names and affiliations]</w:t>
      </w:r>
    </w:p>
    <w:p>
      <w:pPr>
        <w:spacing w:line="480" w:lineRule="auto" w:before="240" w:after="120"/>
        <w:jc w:val="left"/>
      </w:pPr>
      <w:r>
        <w:rPr>
          <w:rFonts w:ascii="Times New Roman" w:hAnsi="Times New Roman"/>
          <w:b/>
          <w:sz w:val="24"/>
        </w:rPr>
        <w:t>Abstract</w:t>
      </w:r>
    </w:p>
    <w:p>
      <w:pPr>
        <w:spacing w:line="480" w:lineRule="auto" w:after="0"/>
        <w:jc w:val="both"/>
      </w:pPr>
      <w:r>
        <w:rPr>
          <w:i w:val="0"/>
          <w:sz w:val="24"/>
        </w:rPr>
        <w:t>High-performance sport is routinely described as an ecosystem in which governance, innovation and talent development are mutually reinforcing. Whether the research literature behaves as such a system has not been established, because the concepts that would define it have never been measured as a structure. This study constructs and validates a concept network for the field and tests that implicit claim.</w:t>
      </w:r>
    </w:p>
    <w:p>
      <w:pPr>
        <w:spacing w:line="480" w:lineRule="auto" w:after="0"/>
        <w:jc w:val="both"/>
      </w:pPr>
      <w:r>
        <w:rPr>
          <w:i w:val="0"/>
          <w:sz w:val="24"/>
        </w:rPr>
        <w:t>A Scopus corpus of 604 records (2013-2025: n = 448) was converted into a concept network through a POS-constrained term-mining cascade, a new semantic concept-family consolidation procedure (SEMCON) combining deterministic normalisation with complete-linkage clustering of anisotropy-corrected neural embeddings, and a degree-preserving bipartite null model for edge admission. Structural claims were tested against a configuration-model null over 300 randomisations. Thematic evolution was assessed by embedding-based topic modelling (UMAP + HDBSCAN with class-based TF-IDF); cross-national differences by FDR-corrected proportion tests.</w:t>
      </w:r>
    </w:p>
    <w:p>
      <w:pPr>
        <w:spacing w:line="480" w:lineRule="auto" w:after="0"/>
        <w:jc w:val="both"/>
      </w:pPr>
      <w:r>
        <w:rPr>
          <w:i w:val="0"/>
          <w:sz w:val="24"/>
        </w:rPr>
        <w:t>Three findings follow. First, the network is significantly modular (Q = 0.446 against a null of 0.220 ± 0.004, z = +64.3, p &lt; .004): high-performance sport research constitutes a genuine community structure, not an integrated discourse. Second, its integrative concepts are largely invisible in its own framing - only 8.3% of concept mentions occur in titles, and title-level betweenness correlates with full-text betweenness at only rho = 0.39. Third, the governance, innovation and talent-development pillars are statistically segregated: shortest paths between concepts cross pillar boundaries less often than under degree-preserving randomisation (0.950 versus 0.963 ± 0.003, z = -4.16). The ecosystem framing is therefore aspirational rather than empirical, and bridging is distributed evenly across pillars (chi-square = 2.40, p = .30). Cross-national variation is substantial (topic × country chi-square = 180.6, V = 0.267, p &lt; .001), indicating differentiated national cultures rather than a shared agenda.</w:t>
      </w:r>
    </w:p>
    <w:p>
      <w:pPr>
        <w:spacing w:line="480" w:lineRule="auto" w:after="0"/>
        <w:jc w:val="both"/>
      </w:pPr>
      <w:r>
        <w:rPr>
          <w:i w:val="0"/>
          <w:sz w:val="24"/>
        </w:rPr>
        <w:t>The methodological contribution is equally consequential. Single-query retrieval inflates its own search vocabulary 3.67-fold relative to matched controls; connected components over a thresholded similarity graph chain semantically incoherent families; and raw neural embeddings are too anisotropic (+0.81 mean random-pair cosine) to support consolidation without mean-centring. SEMCON, calibrated by hand adjudication of 95 sampled merges (audited precision 0.957), is released as a reproducible standard for concept-network analysis in bounded corpora.</w:t>
      </w:r>
    </w:p>
    <w:p>
      <w:pPr>
        <w:spacing w:line="480" w:lineRule="auto"/>
        <w:ind w:firstLine="720"/>
        <w:jc w:val="both"/>
      </w:pPr>
      <w:r>
        <w:rPr>
          <w:b/>
          <w:sz w:val="24"/>
        </w:rPr>
        <w:t xml:space="preserve">Keywords: </w:t>
      </w:r>
      <w:r>
        <w:rPr>
          <w:sz w:val="24"/>
        </w:rPr>
        <w:t>high-performance sport; sport policy; science mapping; co-word analysis; semantic concept networks; null models; text mining; talent development; sport innovation</w:t>
      </w:r>
    </w:p>
    <w:p>
      <w:pPr>
        <w:spacing w:line="480" w:lineRule="auto" w:before="240" w:after="120"/>
        <w:jc w:val="left"/>
      </w:pPr>
      <w:r>
        <w:rPr>
          <w:rFonts w:ascii="Times New Roman" w:hAnsi="Times New Roman"/>
          <w:b/>
          <w:sz w:val="24"/>
        </w:rPr>
        <w:t>Highlights</w:t>
      </w:r>
    </w:p>
    <w:p>
      <w:pPr>
        <w:pStyle w:val="ListBullet"/>
        <w:spacing w:line="360" w:lineRule="auto" w:after="40"/>
      </w:pPr>
      <w:r>
        <w:rPr>
          <w:sz w:val="22"/>
        </w:rPr>
        <w:t>The high-performance sport concept network is significantly modular (z = +64.3 against a degree-preserving null).</w:t>
      </w:r>
    </w:p>
    <w:p>
      <w:pPr>
        <w:pStyle w:val="ListBullet"/>
        <w:spacing w:line="360" w:lineRule="auto" w:after="40"/>
      </w:pPr>
      <w:r>
        <w:rPr>
          <w:sz w:val="22"/>
        </w:rPr>
        <w:t>Governance, innovation and talent development are statistically segregated literatures, not an integrated ecosystem.</w:t>
      </w:r>
    </w:p>
    <w:p>
      <w:pPr>
        <w:pStyle w:val="ListBullet"/>
        <w:spacing w:line="360" w:lineRule="auto" w:after="40"/>
      </w:pPr>
      <w:r>
        <w:rPr>
          <w:sz w:val="22"/>
        </w:rPr>
        <w:t>Only 8.3% of concept mentions appear in titles; integrative concepts are structurally invisible in the field's own framing.</w:t>
      </w:r>
    </w:p>
    <w:p>
      <w:pPr>
        <w:pStyle w:val="ListBullet"/>
        <w:spacing w:line="360" w:lineRule="auto" w:after="40"/>
      </w:pPr>
      <w:r>
        <w:rPr>
          <w:sz w:val="22"/>
        </w:rPr>
        <w:t>Single-query retrieval inflates search-string vocabulary 3.67-fold, distorting conventional co-word networks.</w:t>
      </w:r>
    </w:p>
    <w:p>
      <w:pPr>
        <w:pStyle w:val="ListBullet"/>
        <w:spacing w:line="360" w:lineRule="auto" w:after="40"/>
      </w:pPr>
      <w:r>
        <w:rPr>
          <w:sz w:val="22"/>
        </w:rPr>
        <w:t>SEMCON, a validated semantic concept-family consolidation procedure, is released as a reproducible standard for bounded corpora.</w:t>
      </w:r>
    </w:p>
    <w:p>
      <w:r>
        <w:br w:type="page"/>
      </w:r>
    </w:p>
    <w:p>
      <w:pPr>
        <w:spacing w:line="480" w:lineRule="auto" w:before="240" w:after="120"/>
        <w:jc w:val="left"/>
      </w:pPr>
      <w:r>
        <w:rPr>
          <w:rFonts w:ascii="Times New Roman" w:hAnsi="Times New Roman"/>
          <w:b/>
          <w:sz w:val="24"/>
        </w:rPr>
        <w:t>1. Introduction</w:t>
      </w:r>
    </w:p>
    <w:p>
      <w:pPr>
        <w:spacing w:line="480" w:lineRule="auto" w:after="0"/>
        <w:jc w:val="both"/>
      </w:pPr>
      <w:r>
        <w:rPr>
          <w:i w:val="0"/>
          <w:sz w:val="24"/>
        </w:rPr>
        <w:t>High-performance sport is conventionally analysed as a system. The SPLISS project models national elite sport performance as a function of nine interacting policy pillars spanning finance, governance, participation, talent identification, athletic and post-career support, coaching, facilities, competition and scientific research (De Bosscher et al., 2006). The organisational-developmental literature likewise locates performance at the intersection of macro-level political economy, meso-level policy design and micro-level athlete development (Sotiriadou et al., 2008), and ecological theorising borrowed from innovation studies has encouraged analysts to treat sport as an ecosystem of interdependent actors (cf. Adner, 2017). Across these traditions the organising premise is that outcomes emerge from interaction rather than from isolated determinants.</w:t>
      </w:r>
    </w:p>
    <w:p>
      <w:pPr>
        <w:spacing w:line="480" w:lineRule="auto" w:after="0"/>
        <w:jc w:val="both"/>
      </w:pPr>
      <w:r>
        <w:rPr>
          <w:i w:val="0"/>
          <w:sz w:val="24"/>
        </w:rPr>
        <w:t>The framing carries an empirical implication rarely tested. If governance, innovation and talent development constitute an integrated system, the research literature should display the corresponding signature: strong and frequent associations between pillars, and integrative concepts binding them together. If instead the three literatures are parallel, each with its own internal logic and few conceptual bridges, then ecosystem thinking prescribes how sport systems should be organised rather than describing how scholarship has developed. Distinguishing these matters: a genuinely integrated literature would justify theoretical integration, a segregated one would justify treating the pillars as substantively distinct and concentrating effort on missing connections.</w:t>
      </w:r>
    </w:p>
    <w:p>
      <w:pPr>
        <w:spacing w:line="480" w:lineRule="auto" w:after="0"/>
        <w:jc w:val="both"/>
      </w:pPr>
      <w:r>
        <w:rPr>
          <w:i w:val="0"/>
          <w:sz w:val="24"/>
        </w:rPr>
        <w:t>This is hard to answer for a straightforward reason: the concepts that would instantiate an ecosystem have never been operationalised as a measurable structure. Sport policy scholarship has mapped individual national systems systematically, most comprehensively through the SPLISS benchmarking series (Houlihan &amp; Green, 2008), and athlete development has been the subject of multiple systematic reviews (Johnston et al., 2017; Descheemaeker et al., 2025). But these review substantive claims. What is missing is a representation of the field's conceptual organisation that is explicit, reproducible, testable, and comparable against what the ecosystem model predicts.</w:t>
      </w:r>
    </w:p>
    <w:p>
      <w:pPr>
        <w:spacing w:line="480" w:lineRule="auto" w:after="0"/>
        <w:jc w:val="both"/>
      </w:pPr>
      <w:r>
        <w:rPr>
          <w:i w:val="0"/>
          <w:sz w:val="24"/>
        </w:rPr>
        <w:t>Science mapping supplies the relevant apparatus. Co-word analysis reconstructs a field's conceptual structure from the co-occurrence of terms across documents (Callon et al., 1986; He, 1999) and has been applied across sport (Wollny et al., 2023; Liu et al., 2024). It is attractive here because the construct of interest is conceptual rather than citational. Yet applied to a bounded domain such as high-performance sport, standard practice encounters a problem we term the query-artefact problem.</w:t>
      </w:r>
    </w:p>
    <w:p>
      <w:pPr>
        <w:spacing w:line="480" w:lineRule="auto" w:after="0"/>
        <w:jc w:val="both"/>
      </w:pPr>
      <w:r>
        <w:rPr>
          <w:i w:val="0"/>
          <w:sz w:val="24"/>
        </w:rPr>
        <w:t>A domain literature is almost always retrieved with a single structured query, so that the query's vocabulary is present in a large, non-random share of the retrieved documents. In our corpus, terms drawn verbatim from the search string appear with mean frequency 3.67 times that of matched control terms, and the phrase “sport system” alone occurs in 54.6% of documents. Since conventional co-word analysis treats the most frequent terms as the field's core concepts, an uncorrected analysis returns the search string as a finding. This is not a second-order concern: it determines the identity of the network's hubs.</w:t>
      </w:r>
    </w:p>
    <w:p>
      <w:pPr>
        <w:spacing w:line="480" w:lineRule="auto" w:after="0"/>
        <w:jc w:val="both"/>
      </w:pPr>
      <w:r>
        <w:rPr>
          <w:i w:val="0"/>
          <w:sz w:val="24"/>
        </w:rPr>
        <w:t>A second problem compounds it. Co-word networks built on surface strings fragment under synonymy. “Talent development”, “athlete development” and “talent pipeline” denote substantially the same object but occupy separate nodes, fragmenting the network and dispersing the centrality of integrative concepts. Standard remedies are manual synonym dictionaries, which do not scale. We instead propose a two-stage consolidation procedure (SEMCON) applying deterministic normalisation for morphological and orthographic variation, then clustering residual lexical synonymy by cosine similarity between anisotropy-corrected neural embeddings under complete linkage. Section 3.6 reports the validation, including two failures encountered and corrected during development, because these are instructive about the reliability of embedding-based consolidation in general.</w:t>
      </w:r>
    </w:p>
    <w:p>
      <w:pPr>
        <w:spacing w:line="480" w:lineRule="auto" w:after="0"/>
        <w:jc w:val="both"/>
      </w:pPr>
      <w:r>
        <w:rPr>
          <w:i w:val="0"/>
          <w:sz w:val="24"/>
        </w:rPr>
        <w:t>A third concern is inference. Applied sports science frequently reports centralities and clusterings without indicating whether the structure departs from what chance would produce. Any co-occurrence network will exhibit some modularity and some apparent hubs, because the underlying document set is itself clustered by topic. Claims that a field is “modular” or a concept “integrative” are therefore meaningful only against a stated null. This study places every structural claim against a degree-preserving null: a bipartite swap model for edges and a configuration model for modularity and centrality.</w:t>
      </w:r>
    </w:p>
    <w:p>
      <w:pPr>
        <w:spacing w:line="480" w:lineRule="auto" w:after="0"/>
        <w:jc w:val="both"/>
      </w:pPr>
      <w:r>
        <w:rPr>
          <w:i w:val="0"/>
          <w:sz w:val="24"/>
        </w:rPr>
        <w:t>Against this background the study asks four questions. Two concern structure:</w:t>
      </w:r>
    </w:p>
    <w:p>
      <w:pPr>
        <w:spacing w:line="480" w:lineRule="auto" w:after="0"/>
        <w:jc w:val="both"/>
      </w:pPr>
      <w:r>
        <w:rPr>
          <w:i w:val="0"/>
          <w:sz w:val="24"/>
        </w:rPr>
        <w:t>RQ1. What is the conceptual structure of high-performance sport research as a concept network, and which concepts are structurally integrative? Specifically, is the network modular relative to a degree-preserving null, and which concepts occupy significantly bridging positions?</w:t>
      </w:r>
    </w:p>
    <w:p>
      <w:pPr>
        <w:spacing w:line="480" w:lineRule="auto" w:after="0"/>
        <w:jc w:val="both"/>
      </w:pPr>
      <w:r>
        <w:rPr>
          <w:i w:val="0"/>
          <w:sz w:val="24"/>
        </w:rPr>
        <w:t>RQ2. How does the thematic composition of the field evolve across the governance, innovation and talent-development pillars, and which concepts constitute its frontier?</w:t>
      </w:r>
    </w:p>
    <w:p>
      <w:pPr>
        <w:spacing w:line="480" w:lineRule="auto" w:after="0"/>
        <w:jc w:val="both"/>
      </w:pPr>
      <w:r>
        <w:rPr>
          <w:i w:val="0"/>
          <w:sz w:val="24"/>
        </w:rPr>
        <w:t>Two concern integration and difference:</w:t>
      </w:r>
    </w:p>
    <w:p>
      <w:pPr>
        <w:spacing w:line="480" w:lineRule="auto" w:after="0"/>
        <w:jc w:val="both"/>
      </w:pPr>
      <w:r>
        <w:rPr>
          <w:i w:val="0"/>
          <w:sz w:val="24"/>
        </w:rPr>
        <w:t>RQ3. Do the three pillars form an integrated conceptual system, or parallel literatures with limited interconnection?</w:t>
      </w:r>
    </w:p>
    <w:p>
      <w:pPr>
        <w:spacing w:line="480" w:lineRule="auto" w:after="0"/>
        <w:jc w:val="both"/>
      </w:pPr>
      <w:r>
        <w:rPr>
          <w:i w:val="0"/>
          <w:sz w:val="24"/>
        </w:rPr>
        <w:t>RQ4. How do national research systems differ in the concepts and topics they over-represent?</w:t>
      </w:r>
    </w:p>
    <w:p>
      <w:pPr>
        <w:spacing w:line="480" w:lineRule="auto" w:after="0"/>
        <w:jc w:val="both"/>
      </w:pPr>
      <w:r>
        <w:rPr>
          <w:i w:val="0"/>
          <w:sz w:val="24"/>
        </w:rPr>
        <w:t>The study makes three contributions. Methodologically, it demonstrates that conventional co-word analysis of a single-query bounded corpus is materially biased by the retrieval instrument, quantifies the bias, and supplies a validated correction. Substantively, it establishes that the literature is modular but that its three asserted pillars are statistically segregated, reclassifying ecosystem integration from established fact to open empirical question. Practically, it identifies which concepts carry cross-pillar associations, providing a defensible basis for integrative interventions and for the conceptual modelling reported in the companion paper.</w:t>
      </w:r>
    </w:p>
    <w:p>
      <w:r>
        <w:br w:type="page"/>
      </w:r>
    </w:p>
    <w:p>
      <w:pPr>
        <w:spacing w:line="480" w:lineRule="auto" w:before="240" w:after="120"/>
        <w:jc w:val="left"/>
      </w:pPr>
      <w:r>
        <w:rPr>
          <w:rFonts w:ascii="Times New Roman" w:hAnsi="Times New Roman"/>
          <w:b/>
          <w:sz w:val="24"/>
        </w:rPr>
        <w:t>2. Literature review</w:t>
      </w:r>
    </w:p>
    <w:p>
      <w:pPr>
        <w:spacing w:line="480" w:lineRule="auto" w:before="160" w:after="80"/>
        <w:jc w:val="left"/>
      </w:pPr>
      <w:r>
        <w:rPr>
          <w:b/>
          <w:i/>
          <w:sz w:val="24"/>
        </w:rPr>
        <w:t>2.1 The high-performance sport system as an object of study</w:t>
      </w:r>
    </w:p>
    <w:p>
      <w:pPr>
        <w:spacing w:line="480" w:lineRule="auto" w:after="0"/>
        <w:ind w:firstLine="720"/>
        <w:jc w:val="both"/>
      </w:pPr>
      <w:r>
        <w:rPr>
          <w:i w:val="0"/>
          <w:sz w:val="24"/>
        </w:rPr>
        <w:t>Comparative analysis of national elite sport systems developed through the SPLISS project remains the field's most systematic attempt to specify what a functioning high-performance sport system requires. De Bosscher et al. (2006) distilled four decades of case literature into nine pillars and approximately one hundred critical success factors, later extended to a wider national sample (Houlihan &amp; Green, 2008). The model's analytic value lies in decomposing a purported system into interdependent policy domains; its limitation lies in being designed for benchmarking rather than structural inference. SPLISS posits interdependence; it does not measure it.</w:t>
      </w:r>
    </w:p>
    <w:p>
      <w:pPr>
        <w:spacing w:line="480" w:lineRule="auto" w:after="0"/>
        <w:ind w:firstLine="720"/>
        <w:jc w:val="both"/>
      </w:pPr>
      <w:r>
        <w:rPr>
          <w:i w:val="0"/>
          <w:sz w:val="24"/>
        </w:rPr>
        <w:t>The organisational-developmental literature supplies a complementary level of analysis, locating performance at the intersection of macro-level political and economic conditions, meso-level policy and organisational capacity, and micro-level athlete development, and stressing that these levels are closely intertwined rather than separable (Sotiriadou et al., 2008). This work establishes why a systemic conceptualisation is plausible; it leaves open whether the scholarship required to sustain that conception exists as a connected structure.</w:t>
      </w:r>
    </w:p>
    <w:p>
      <w:pPr>
        <w:spacing w:line="480" w:lineRule="auto" w:before="160" w:after="80"/>
        <w:jc w:val="left"/>
      </w:pPr>
      <w:r>
        <w:rPr>
          <w:b/>
          <w:i/>
          <w:sz w:val="24"/>
        </w:rPr>
        <w:t>2.2 Governance and policy</w:t>
      </w:r>
    </w:p>
    <w:p>
      <w:pPr>
        <w:spacing w:line="480" w:lineRule="auto" w:after="0"/>
        <w:ind w:firstLine="720"/>
        <w:jc w:val="both"/>
      </w:pPr>
      <w:r>
        <w:rPr>
          <w:i w:val="0"/>
          <w:sz w:val="24"/>
        </w:rPr>
        <w:t>Sport governance research has matured substantially since the turn of the century. Houlihan and Mallinson (2013) distinguish governance within the state, the market, civil society and the sport movement, and argue that the state's role in elite sport is neither uniformly dominant nor withdrawing. A systematic review of sport policy research between 2000 and 2020 found that nearly half of included studies focused on meso-level organisational analysis, and that governance theory and the SPLISS model were the most frequently applied frameworks (Chien, 2022). This is a mature subfield with substantial conceptual apparatus, which makes it the most likely of the three pillars to possess internal coherence.</w:t>
      </w:r>
    </w:p>
    <w:p>
      <w:pPr>
        <w:spacing w:line="480" w:lineRule="auto" w:before="160" w:after="80"/>
        <w:jc w:val="left"/>
      </w:pPr>
      <w:r>
        <w:rPr>
          <w:b/>
          <w:i/>
          <w:sz w:val="24"/>
        </w:rPr>
        <w:t>2.3 Innovation, technology and analytics</w:t>
      </w:r>
    </w:p>
    <w:p>
      <w:pPr>
        <w:spacing w:line="480" w:lineRule="auto" w:after="0"/>
        <w:ind w:firstLine="720"/>
        <w:jc w:val="both"/>
      </w:pPr>
      <w:r>
        <w:rPr>
          <w:i w:val="0"/>
          <w:sz w:val="24"/>
        </w:rPr>
        <w:t>Technological innovation in sport has attracted rapidly growing attention, driven by the diffusion of wearable sensing, machine learning and commercial platforms. Recent reviews characterise the field across biomechanical analysis, injury-risk prediction, workload management and talent identification, while noting that the data requirements of many proposed systems confine them to elite settings (Li, 2023; Taheri et al., 2025). Crucially, AI and wearable research in sport is often reported as an instrument for improving governance decisions and talent selection rather than as a distinct institutional domain. This raises the possibility that the innovation pillar is conceptually subsumed within the other two rather than standing alongside them, a possibility the multiplex analysis in Section 4.10 is designed to detect.</w:t>
      </w:r>
    </w:p>
    <w:p>
      <w:pPr>
        <w:spacing w:line="480" w:lineRule="auto" w:before="160" w:after="80"/>
        <w:jc w:val="left"/>
      </w:pPr>
      <w:r>
        <w:rPr>
          <w:b/>
          <w:i/>
          <w:sz w:val="24"/>
        </w:rPr>
        <w:t>2.4 Talent development and the athlete pathway</w:t>
      </w:r>
    </w:p>
    <w:p>
      <w:pPr>
        <w:spacing w:line="480" w:lineRule="auto" w:after="0"/>
        <w:ind w:firstLine="720"/>
        <w:jc w:val="both"/>
      </w:pPr>
      <w:r>
        <w:rPr>
          <w:i w:val="0"/>
          <w:sz w:val="24"/>
        </w:rPr>
        <w:t>The talent literature is the most theoretically elaborated and most internally contested of the three pillars. Systematic reviews have established a vocabulary of successive stages - detection, identification, development, selection (Johnston et al., 2017; Zhao et al., 2024) - and have repeatedly found that empirical evidence for predictive validity remains weak, particularly for early-age identification (Vaeyens et al., 2008; Till &amp; Baker, 2020). A recent umbrella review of 60 systematic reviews identified eight overarching and 44 phase-specific determinants of youth athlete development (Descheemaeker et al., 2025). The density of this literature, and its explicit orientation toward policy design, suggest an internally coherent pillar strongly coupled to governance concerns through the pathway construct.</w:t>
      </w:r>
    </w:p>
    <w:p>
      <w:pPr>
        <w:spacing w:line="480" w:lineRule="auto" w:before="160" w:after="80"/>
        <w:jc w:val="left"/>
      </w:pPr>
      <w:r>
        <w:rPr>
          <w:b/>
          <w:i/>
          <w:sz w:val="24"/>
        </w:rPr>
        <w:t>2.5 Athlete well-being, dual careers and safeguarding</w:t>
      </w:r>
    </w:p>
    <w:p>
      <w:pPr>
        <w:spacing w:line="480" w:lineRule="auto" w:after="0"/>
        <w:ind w:firstLine="720"/>
        <w:jc w:val="both"/>
      </w:pPr>
      <w:r>
        <w:rPr>
          <w:i w:val="0"/>
          <w:sz w:val="24"/>
        </w:rPr>
        <w:t>A fourth strand addresses athlete welfare, mental health, dual careers and safeguarding. Although not one of the three pillars specified in this study, it appears in the network analysis and is retained as a substantive subfield rather than excluded a priori. Its conceptual position within the network indicates whether its historical stance as a corrective to performance-focused policy agendas has been accommodated or persists.</w:t>
      </w:r>
    </w:p>
    <w:p>
      <w:pPr>
        <w:spacing w:line="480" w:lineRule="auto" w:before="160" w:after="80"/>
        <w:jc w:val="left"/>
      </w:pPr>
      <w:r>
        <w:rPr>
          <w:b/>
          <w:i/>
          <w:sz w:val="24"/>
        </w:rPr>
        <w:t>2.6 Prior knowledge mapping in sport and the gaps addressed</w:t>
      </w:r>
    </w:p>
    <w:p>
      <w:pPr>
        <w:spacing w:line="480" w:lineRule="auto" w:after="0"/>
        <w:ind w:firstLine="720"/>
        <w:jc w:val="both"/>
      </w:pPr>
      <w:r>
        <w:rPr>
          <w:i w:val="0"/>
          <w:sz w:val="24"/>
        </w:rPr>
        <w:t>Co-word analyses have mapped thematic development across leading sport management journals (Wollny et al., 2023) and digital sport research (Liu et al., 2024). These establish the descriptive value of concept mapping for sport scholarship. Three methodological limitations recur across them, each addressed directly in this study. First, none controls for the retrieval instrument: because domain-focused mapping relies on a single structured query, the frequency profile of the corpus is partly determined by the query's wording, so the most frequent terms may be query terms rather than field concepts. Second, synonymy is handled by manual curation or accepted, which fragments concept networks and disperses measured centrality. Third, structural claims are descriptive - modularity and centralities are reported without comparison to a randomisation null, leaving open how much apparent structure is attributable to the clustering inherent in any document set drawn from a partitioned knowledge domain.</w:t>
      </w:r>
    </w:p>
    <w:p>
      <w:pPr>
        <w:spacing w:line="480" w:lineRule="auto" w:after="0"/>
        <w:ind w:firstLine="720"/>
        <w:jc w:val="both"/>
      </w:pPr>
      <w:r>
        <w:rPr>
          <w:i w:val="0"/>
          <w:sz w:val="24"/>
        </w:rPr>
        <w:t>These gaps are methodological rather than substantive, and therefore addressable without new data. Correcting them requires care, however, because the standard remedies adopted in general bibliometric practice - manual synonym merging and threshold-based graph construction - are themselves unreliable in ways rarely documented. Section 3.6 reports two such failures encountered during development of this study and the validation design adopted in response.</w:t>
      </w:r>
    </w:p>
    <w:p>
      <w:r>
        <w:br w:type="page"/>
      </w:r>
    </w:p>
    <w:p>
      <w:pPr>
        <w:spacing w:line="480" w:lineRule="auto" w:before="240" w:after="120"/>
        <w:jc w:val="left"/>
      </w:pPr>
      <w:r>
        <w:rPr>
          <w:rFonts w:ascii="Times New Roman" w:hAnsi="Times New Roman"/>
          <w:b/>
          <w:sz w:val="24"/>
        </w:rPr>
        <w:t>3. Method</w:t>
      </w:r>
    </w:p>
    <w:p>
      <w:pPr>
        <w:spacing w:line="480" w:lineRule="auto" w:before="160" w:after="80"/>
        <w:jc w:val="left"/>
      </w:pPr>
      <w:r>
        <w:rPr>
          <w:b/>
          <w:i/>
          <w:sz w:val="24"/>
        </w:rPr>
        <w:t>3.1 Design and transparency</w:t>
      </w:r>
    </w:p>
    <w:p>
      <w:pPr>
        <w:spacing w:line="480" w:lineRule="auto" w:after="0"/>
        <w:ind w:firstLine="720"/>
        <w:jc w:val="both"/>
      </w:pPr>
      <w:r>
        <w:rPr>
          <w:i w:val="0"/>
          <w:sz w:val="24"/>
        </w:rPr>
        <w:t>This is a retrospective bibliometric and text-mining study of a single bibliographic corpus. Analyses were performed in Python 3.11 using spaCy 3.8 for parsing, sentence-transformers with intfloat/e5-base-v2, scikit-learn for clustering and topic modelling, umap-learn for dimensionality reduction, NetworkX for network analysis, and SciPy and statsmodels for inference. The pipeline executes end-to-end in approximately 20 minutes as a nine-stage script sequence with every parameter in a single configuration block per stage. Random seeds are fixed throughout, so all reported quantities are reproducible.</w:t>
      </w:r>
    </w:p>
    <w:p>
      <w:pPr>
        <w:spacing w:line="480" w:lineRule="auto" w:before="160" w:after="80"/>
        <w:jc w:val="left"/>
      </w:pPr>
      <w:r>
        <w:rPr>
          <w:b/>
          <w:i/>
          <w:sz w:val="24"/>
        </w:rPr>
        <w:t>3.2 Literature search and corpus construction</w:t>
      </w:r>
    </w:p>
    <w:p>
      <w:pPr>
        <w:spacing w:line="480" w:lineRule="auto" w:after="0"/>
        <w:ind w:firstLine="720"/>
        <w:jc w:val="both"/>
      </w:pPr>
      <w:r>
        <w:rPr>
          <w:i w:val="0"/>
          <w:sz w:val="24"/>
        </w:rPr>
        <w:t>Data were retrieved from Scopus on 30 September 2026 using the structured query reported in Appendix A, combining a concept block on sport ecosystems, systems, networks and value chains with a context block on elite and high-performance sport. The query returned 623 records.</w:t>
      </w:r>
    </w:p>
    <w:p>
      <w:pPr>
        <w:spacing w:line="240" w:lineRule="auto" w:before="200" w:after="80"/>
      </w:pPr>
      <w:r>
        <w:rPr>
          <w:b/>
          <w:sz w:val="20"/>
        </w:rPr>
        <w:t>Table 1. Corpus construction and exclusion audit.</w:t>
      </w:r>
    </w:p>
    <w:tbl>
      <w:tblPr>
        <w:tblStyle w:val="TableGrid"/>
        <w:tblW w:type="auto" w:w="0"/>
        <w:jc w:val="center"/>
        <w:tblLook w:firstColumn="1" w:firstRow="1" w:lastColumn="0" w:lastRow="0" w:noHBand="0" w:noVBand="1" w:val="04A0"/>
      </w:tblPr>
      <w:tblGrid>
        <w:gridCol w:w="3120"/>
        <w:gridCol w:w="3120"/>
        <w:gridCol w:w="3120"/>
      </w:tblGrid>
      <w:tr>
        <w:tc>
          <w:tcPr>
            <w:tcW w:type="dxa" w:w="4752"/>
            <w:shd w:fill="E8EDF2"/>
          </w:tcPr>
          <w:p>
            <w:pPr>
              <w:spacing w:line="240" w:lineRule="auto"/>
            </w:pPr>
            <w:r/>
            <w:r>
              <w:rPr>
                <w:b/>
                <w:sz w:val="17"/>
              </w:rPr>
              <w:t>Stage</w:t>
            </w:r>
          </w:p>
        </w:tc>
        <w:tc>
          <w:tcPr>
            <w:tcW w:type="dxa" w:w="1008"/>
            <w:shd w:fill="E8EDF2"/>
          </w:tcPr>
          <w:p>
            <w:pPr>
              <w:spacing w:line="240" w:lineRule="auto"/>
            </w:pPr>
            <w:r/>
            <w:r>
              <w:rPr>
                <w:b/>
                <w:sz w:val="17"/>
              </w:rPr>
              <w:t>n</w:t>
            </w:r>
          </w:p>
        </w:tc>
        <w:tc>
          <w:tcPr>
            <w:tcW w:type="dxa" w:w="3600"/>
            <w:shd w:fill="E8EDF2"/>
          </w:tcPr>
          <w:p>
            <w:pPr>
              <w:spacing w:line="240" w:lineRule="auto"/>
            </w:pPr>
            <w:r/>
            <w:r>
              <w:rPr>
                <w:b/>
                <w:sz w:val="17"/>
              </w:rPr>
              <w:t>Note</w:t>
            </w:r>
          </w:p>
        </w:tc>
      </w:tr>
      <w:tr>
        <w:tc>
          <w:tcPr>
            <w:tcW w:type="dxa" w:w="4752"/>
          </w:tcPr>
          <w:p>
            <w:pPr>
              <w:spacing w:line="240" w:lineRule="auto"/>
            </w:pPr>
            <w:r/>
            <w:r>
              <w:rPr>
                <w:sz w:val="17"/>
              </w:rPr>
              <w:t>Scopus records retrieved</w:t>
            </w:r>
          </w:p>
        </w:tc>
        <w:tc>
          <w:tcPr>
            <w:tcW w:type="dxa" w:w="1008"/>
          </w:tcPr>
          <w:p>
            <w:pPr>
              <w:spacing w:line="240" w:lineRule="auto"/>
            </w:pPr>
            <w:r/>
            <w:r>
              <w:rPr>
                <w:sz w:val="17"/>
              </w:rPr>
              <w:t>623</w:t>
            </w:r>
          </w:p>
        </w:tc>
        <w:tc>
          <w:tcPr>
            <w:tcW w:type="dxa" w:w="3600"/>
          </w:tcPr>
          <w:p>
            <w:pPr>
              <w:spacing w:line="240" w:lineRule="auto"/>
            </w:pPr>
            <w:r/>
            <w:r>
              <w:rPr>
                <w:sz w:val="17"/>
              </w:rPr>
              <w:t>Single structured query, 30.09.2026</w:t>
            </w:r>
          </w:p>
        </w:tc>
      </w:tr>
      <w:tr>
        <w:tc>
          <w:tcPr>
            <w:tcW w:type="dxa" w:w="4752"/>
          </w:tcPr>
          <w:p>
            <w:pPr>
              <w:spacing w:line="240" w:lineRule="auto"/>
            </w:pPr>
            <w:r/>
            <w:r>
              <w:rPr>
                <w:sz w:val="17"/>
              </w:rPr>
              <w:t>Excluded: Retracted</w:t>
            </w:r>
          </w:p>
        </w:tc>
        <w:tc>
          <w:tcPr>
            <w:tcW w:type="dxa" w:w="1008"/>
          </w:tcPr>
          <w:p>
            <w:pPr>
              <w:spacing w:line="240" w:lineRule="auto"/>
            </w:pPr>
            <w:r/>
            <w:r>
              <w:rPr>
                <w:sz w:val="17"/>
              </w:rPr>
              <w:t>3</w:t>
            </w:r>
          </w:p>
        </w:tc>
        <w:tc>
          <w:tcPr>
            <w:tcW w:type="dxa" w:w="3600"/>
          </w:tcPr>
          <w:p>
            <w:pPr>
              <w:spacing w:line="240" w:lineRule="auto"/>
            </w:pPr>
            <w:r/>
            <w:r>
              <w:rPr>
                <w:sz w:val="17"/>
              </w:rPr>
              <w:t>Withdrawn during data processing</w:t>
            </w:r>
          </w:p>
        </w:tc>
      </w:tr>
      <w:tr>
        <w:tc>
          <w:tcPr>
            <w:tcW w:type="dxa" w:w="4752"/>
          </w:tcPr>
          <w:p>
            <w:pPr>
              <w:spacing w:line="240" w:lineRule="auto"/>
            </w:pPr>
            <w:r/>
            <w:r>
              <w:rPr>
                <w:sz w:val="17"/>
              </w:rPr>
              <w:t>Excluded: Note</w:t>
            </w:r>
          </w:p>
        </w:tc>
        <w:tc>
          <w:tcPr>
            <w:tcW w:type="dxa" w:w="1008"/>
          </w:tcPr>
          <w:p>
            <w:pPr>
              <w:spacing w:line="240" w:lineRule="auto"/>
            </w:pPr>
            <w:r/>
            <w:r>
              <w:rPr>
                <w:sz w:val="17"/>
              </w:rPr>
              <w:t>7</w:t>
            </w:r>
          </w:p>
        </w:tc>
        <w:tc>
          <w:tcPr>
            <w:tcW w:type="dxa" w:w="3600"/>
          </w:tcPr>
          <w:p>
            <w:pPr>
              <w:spacing w:line="240" w:lineRule="auto"/>
            </w:pPr>
            <w:r/>
            <w:r>
              <w:rPr>
                <w:sz w:val="17"/>
              </w:rPr>
              <w:t>Not peer-reviewed articles</w:t>
            </w:r>
          </w:p>
        </w:tc>
      </w:tr>
      <w:tr>
        <w:tc>
          <w:tcPr>
            <w:tcW w:type="dxa" w:w="4752"/>
          </w:tcPr>
          <w:p>
            <w:pPr>
              <w:spacing w:line="240" w:lineRule="auto"/>
            </w:pPr>
            <w:r/>
            <w:r>
              <w:rPr>
                <w:sz w:val="17"/>
              </w:rPr>
              <w:t>Excluded: Editorial</w:t>
            </w:r>
          </w:p>
        </w:tc>
        <w:tc>
          <w:tcPr>
            <w:tcW w:type="dxa" w:w="1008"/>
          </w:tcPr>
          <w:p>
            <w:pPr>
              <w:spacing w:line="240" w:lineRule="auto"/>
            </w:pPr>
            <w:r/>
            <w:r>
              <w:rPr>
                <w:sz w:val="17"/>
              </w:rPr>
              <w:t>2</w:t>
            </w:r>
          </w:p>
        </w:tc>
        <w:tc>
          <w:tcPr>
            <w:tcW w:type="dxa" w:w="3600"/>
          </w:tcPr>
          <w:p>
            <w:pPr>
              <w:spacing w:line="240" w:lineRule="auto"/>
            </w:pPr>
            <w:r/>
            <w:r>
              <w:rPr>
                <w:sz w:val="17"/>
              </w:rPr>
              <w:t>Non-empirical</w:t>
            </w:r>
          </w:p>
        </w:tc>
      </w:tr>
      <w:tr>
        <w:tc>
          <w:tcPr>
            <w:tcW w:type="dxa" w:w="4752"/>
          </w:tcPr>
          <w:p>
            <w:pPr>
              <w:spacing w:line="240" w:lineRule="auto"/>
            </w:pPr>
            <w:r/>
            <w:r>
              <w:rPr>
                <w:sz w:val="17"/>
              </w:rPr>
              <w:t>Excluded: Erratum</w:t>
            </w:r>
          </w:p>
        </w:tc>
        <w:tc>
          <w:tcPr>
            <w:tcW w:type="dxa" w:w="1008"/>
          </w:tcPr>
          <w:p>
            <w:pPr>
              <w:spacing w:line="240" w:lineRule="auto"/>
            </w:pPr>
            <w:r/>
            <w:r>
              <w:rPr>
                <w:sz w:val="17"/>
              </w:rPr>
              <w:t>1</w:t>
            </w:r>
          </w:p>
        </w:tc>
        <w:tc>
          <w:tcPr>
            <w:tcW w:type="dxa" w:w="3600"/>
          </w:tcPr>
          <w:p>
            <w:pPr>
              <w:spacing w:line="240" w:lineRule="auto"/>
            </w:pPr>
            <w:r/>
            <w:r>
              <w:rPr>
                <w:sz w:val="17"/>
              </w:rPr>
              <w:t>Correction notice</w:t>
            </w:r>
          </w:p>
        </w:tc>
      </w:tr>
      <w:tr>
        <w:tc>
          <w:tcPr>
            <w:tcW w:type="dxa" w:w="4752"/>
          </w:tcPr>
          <w:p>
            <w:pPr>
              <w:spacing w:line="240" w:lineRule="auto"/>
            </w:pPr>
            <w:r/>
            <w:r>
              <w:rPr>
                <w:sz w:val="17"/>
              </w:rPr>
              <w:t>Excluded: degenerate title/abstract</w:t>
            </w:r>
          </w:p>
        </w:tc>
        <w:tc>
          <w:tcPr>
            <w:tcW w:type="dxa" w:w="1008"/>
          </w:tcPr>
          <w:p>
            <w:pPr>
              <w:spacing w:line="240" w:lineRule="auto"/>
            </w:pPr>
            <w:r/>
            <w:r>
              <w:rPr>
                <w:sz w:val="17"/>
              </w:rPr>
              <w:t>6</w:t>
            </w:r>
          </w:p>
        </w:tc>
        <w:tc>
          <w:tcPr>
            <w:tcW w:type="dxa" w:w="3600"/>
          </w:tcPr>
          <w:p>
            <w:pPr>
              <w:spacing w:line="240" w:lineRule="auto"/>
            </w:pPr>
            <w:r/>
            <w:r>
              <w:rPr>
                <w:sz w:val="17"/>
              </w:rPr>
              <w:t>Empty or &lt; 80 characters after cleaning</w:t>
            </w:r>
          </w:p>
        </w:tc>
      </w:tr>
      <w:tr>
        <w:tc>
          <w:tcPr>
            <w:tcW w:type="dxa" w:w="4752"/>
          </w:tcPr>
          <w:p>
            <w:pPr>
              <w:spacing w:line="240" w:lineRule="auto"/>
            </w:pPr>
            <w:r/>
            <w:r>
              <w:rPr>
                <w:sz w:val="17"/>
              </w:rPr>
              <w:t>Analytic corpus</w:t>
            </w:r>
          </w:p>
        </w:tc>
        <w:tc>
          <w:tcPr>
            <w:tcW w:type="dxa" w:w="1008"/>
          </w:tcPr>
          <w:p>
            <w:pPr>
              <w:spacing w:line="240" w:lineRule="auto"/>
            </w:pPr>
            <w:r/>
            <w:r>
              <w:rPr>
                <w:sz w:val="17"/>
              </w:rPr>
              <w:t>604</w:t>
            </w:r>
          </w:p>
        </w:tc>
        <w:tc>
          <w:tcPr>
            <w:tcW w:type="dxa" w:w="3600"/>
          </w:tcPr>
          <w:p>
            <w:pPr>
              <w:spacing w:line="240" w:lineRule="auto"/>
            </w:pPr>
            <w:r/>
            <w:r>
              <w:rPr>
                <w:sz w:val="17"/>
              </w:rPr>
              <w:t>Retained for structural analysis</w:t>
            </w:r>
          </w:p>
        </w:tc>
      </w:tr>
      <w:tr>
        <w:tc>
          <w:tcPr>
            <w:tcW w:type="dxa" w:w="4752"/>
          </w:tcPr>
          <w:p>
            <w:pPr>
              <w:spacing w:line="240" w:lineRule="auto"/>
            </w:pPr>
            <w:r/>
            <w:r>
              <w:rPr>
                <w:sz w:val="17"/>
              </w:rPr>
              <w:t xml:space="preserve">  of which in analysis window 2013-2025</w:t>
            </w:r>
          </w:p>
        </w:tc>
        <w:tc>
          <w:tcPr>
            <w:tcW w:type="dxa" w:w="1008"/>
          </w:tcPr>
          <w:p>
            <w:pPr>
              <w:spacing w:line="240" w:lineRule="auto"/>
            </w:pPr>
            <w:r/>
            <w:r>
              <w:rPr>
                <w:sz w:val="17"/>
              </w:rPr>
              <w:t>448</w:t>
            </w:r>
          </w:p>
        </w:tc>
        <w:tc>
          <w:tcPr>
            <w:tcW w:type="dxa" w:w="3600"/>
          </w:tcPr>
          <w:p>
            <w:pPr>
              <w:spacing w:line="240" w:lineRule="auto"/>
            </w:pPr>
            <w:r/>
            <w:r>
              <w:rPr>
                <w:sz w:val="17"/>
              </w:rPr>
              <w:t>Retained for all inference</w:t>
            </w:r>
          </w:p>
        </w:tc>
      </w:tr>
      <w:tr>
        <w:tc>
          <w:tcPr>
            <w:tcW w:type="dxa" w:w="4752"/>
          </w:tcPr>
          <w:p>
            <w:pPr>
              <w:spacing w:line="240" w:lineRule="auto"/>
            </w:pPr>
            <w:r/>
            <w:r>
              <w:rPr>
                <w:sz w:val="17"/>
              </w:rPr>
              <w:t xml:space="preserve">  of which pre-2013</w:t>
            </w:r>
          </w:p>
        </w:tc>
        <w:tc>
          <w:tcPr>
            <w:tcW w:type="dxa" w:w="1008"/>
          </w:tcPr>
          <w:p>
            <w:pPr>
              <w:spacing w:line="240" w:lineRule="auto"/>
            </w:pPr>
            <w:r/>
            <w:r>
              <w:rPr>
                <w:sz w:val="17"/>
              </w:rPr>
              <w:t>50</w:t>
            </w:r>
          </w:p>
        </w:tc>
        <w:tc>
          <w:tcPr>
            <w:tcW w:type="dxa" w:w="3600"/>
          </w:tcPr>
          <w:p>
            <w:pPr>
              <w:spacing w:line="240" w:lineRule="auto"/>
            </w:pPr>
            <w:r/>
            <w:r>
              <w:rPr>
                <w:sz w:val="17"/>
              </w:rPr>
              <w:t>Descriptive reporting only</w:t>
            </w:r>
          </w:p>
        </w:tc>
      </w:tr>
      <w:tr>
        <w:tc>
          <w:tcPr>
            <w:tcW w:type="dxa" w:w="4752"/>
          </w:tcPr>
          <w:p>
            <w:pPr>
              <w:spacing w:line="240" w:lineRule="auto"/>
            </w:pPr>
            <w:r/>
            <w:r>
              <w:rPr>
                <w:sz w:val="17"/>
              </w:rPr>
              <w:t xml:space="preserve">  of which 2026 (partial indexing)</w:t>
            </w:r>
          </w:p>
        </w:tc>
        <w:tc>
          <w:tcPr>
            <w:tcW w:type="dxa" w:w="1008"/>
          </w:tcPr>
          <w:p>
            <w:pPr>
              <w:spacing w:line="240" w:lineRule="auto"/>
            </w:pPr>
            <w:r/>
            <w:r>
              <w:rPr>
                <w:sz w:val="17"/>
              </w:rPr>
              <w:t>106</w:t>
            </w:r>
          </w:p>
        </w:tc>
        <w:tc>
          <w:tcPr>
            <w:tcW w:type="dxa" w:w="3600"/>
          </w:tcPr>
          <w:p>
            <w:pPr>
              <w:spacing w:line="240" w:lineRule="auto"/>
            </w:pPr>
            <w:r/>
            <w:r>
              <w:rPr>
                <w:sz w:val="17"/>
              </w:rPr>
              <w:t>Excluded from all inference</w:t>
            </w:r>
          </w:p>
        </w:tc>
      </w:tr>
    </w:tbl>
    <w:p>
      <w:pPr>
        <w:spacing w:line="240" w:lineRule="auto" w:before="200" w:after="200"/>
      </w:pPr>
      <w:r>
        <w:rPr>
          <w:b/>
          <w:sz w:val="20"/>
        </w:rPr>
        <w:t>Document types retained: articles (447), book chapters (95), reviews (26), conference papers (24), books (12). Retaining book chapters is deliberate: sport policy and elite sport systems scholarship is disproportionately published in edited volumes, and excluding them would systematically disadvantage governance research.</w:t>
      </w:r>
    </w:p>
    <w:p>
      <w:pPr>
        <w:spacing w:line="480" w:lineRule="auto" w:after="0"/>
        <w:ind w:firstLine="720"/>
        <w:jc w:val="both"/>
      </w:pPr>
      <w:r>
        <w:rPr>
          <w:i w:val="0"/>
          <w:sz w:val="24"/>
        </w:rPr>
        <w:t>Two corpus decisions require justification. First, Scopus indexing of 2026 was incomplete at the retrieval date, with 2026 already contributing 106 records - more than any other single year after 2021. Including these in temporal inference would produce a spurious recent-topic surge, so all temporal analysis is restricted to the 2013-2025 window. Second, Scopus Index Keywords are excluded from concept mining entirely. These are MeSH-derived clinical terms and produce, in this corpus, a physiology cluster ('human', 107 documents; 'female', 61; 'male', 60; 'adult', 48) that has no relation to the research object. Concept mining draws on titles, author keywords and abstracts.</w:t>
      </w:r>
    </w:p>
    <w:p>
      <w:pPr>
        <w:spacing w:line="480" w:lineRule="auto" w:before="160" w:after="80"/>
        <w:jc w:val="left"/>
      </w:pPr>
      <w:r>
        <w:rPr>
          <w:b/>
          <w:i/>
          <w:sz w:val="24"/>
        </w:rPr>
        <w:t>3.3 The query-artefact problem</w:t>
      </w:r>
    </w:p>
    <w:p>
      <w:pPr>
        <w:spacing w:line="480" w:lineRule="auto" w:after="0"/>
        <w:ind w:firstLine="720"/>
        <w:jc w:val="both"/>
      </w:pPr>
      <w:r>
        <w:rPr>
          <w:i w:val="0"/>
          <w:sz w:val="24"/>
        </w:rPr>
        <w:t>Retrieval with a single structured query guarantees that the query's vocabulary is over-represented in the result set relative to the underlying literature. We treat this as a measurement problem with a measurable magnitude and a correctable bias.</w:t>
      </w:r>
    </w:p>
    <w:p>
      <w:pPr>
        <w:spacing w:line="480" w:lineRule="auto" w:after="0"/>
        <w:ind w:firstLine="720"/>
        <w:jc w:val="both"/>
      </w:pPr>
      <w:r>
        <w:rPr>
          <w:i w:val="0"/>
          <w:sz w:val="24"/>
        </w:rPr>
        <w:t>Diagnostically, we compared document frequency for nine phrases taken verbatim from the search string against ten control terms selected to be plausible in the domain but absent from the query. Figure 2 reports the result.</w:t>
      </w:r>
    </w:p>
    <w:p>
      <w:pPr>
        <w:spacing w:before="160" w:after="80"/>
        <w:jc w:val="center"/>
      </w:pPr>
      <w:r>
        <w:drawing>
          <wp:inline xmlns:a="http://schemas.openxmlformats.org/drawingml/2006/main" xmlns:pic="http://schemas.openxmlformats.org/drawingml/2006/picture">
            <wp:extent cx="5760720" cy="2486642"/>
            <wp:docPr id="1" name="Picture 1"/>
            <wp:cNvGraphicFramePr>
              <a:graphicFrameLocks noChangeAspect="1"/>
            </wp:cNvGraphicFramePr>
            <a:graphic>
              <a:graphicData uri="http://schemas.openxmlformats.org/drawingml/2006/picture">
                <pic:pic>
                  <pic:nvPicPr>
                    <pic:cNvPr id="0" name="F2_query_artifact.png"/>
                    <pic:cNvPicPr/>
                  </pic:nvPicPr>
                  <pic:blipFill>
                    <a:blip r:embed="rId9"/>
                    <a:stretch>
                      <a:fillRect/>
                    </a:stretch>
                  </pic:blipFill>
                  <pic:spPr>
                    <a:xfrm>
                      <a:off x="0" y="0"/>
                      <a:ext cx="5760720" cy="2486642"/>
                    </a:xfrm>
                    <a:prstGeom prst="rect"/>
                  </pic:spPr>
                </pic:pic>
              </a:graphicData>
            </a:graphic>
          </wp:inline>
        </w:drawing>
      </w:r>
    </w:p>
    <w:p>
      <w:pPr>
        <w:spacing w:line="240" w:lineRule="auto" w:before="200" w:after="200"/>
      </w:pPr>
      <w:r>
        <w:rPr>
          <w:b/>
          <w:sz w:val="20"/>
        </w:rPr>
        <w:t>Figure 1. Query-string terms versus matched control terms. Query terms average 20.4% document frequency against 5.5% for controls, an inflation ratio of 3.67. The phrase 'sport system' alone, an alternative in the query, occurs in 54.6% of documents.</w:t>
      </w:r>
    </w:p>
    <w:p>
      <w:pPr>
        <w:spacing w:line="480" w:lineRule="auto" w:after="0"/>
        <w:ind w:firstLine="720"/>
        <w:jc w:val="both"/>
      </w:pPr>
      <w:r>
        <w:rPr>
          <w:i w:val="0"/>
          <w:sz w:val="24"/>
        </w:rPr>
        <w:t>Two classes of suppression follow. The first is direct: any candidate term matching the search string, including morphological variants, is excluded from concept mining. The second follows from the logical structure of the query. Every disjunct of the concept block contains the token 'sport' (sport ecosystem, sport system, sport network, sport value chain, elite sport, high performance sport, professional sport), so that token is present in the corpus by construction and carries no information about the field. 'Sport' and 'sports' are therefore excluded as necessary-condition tokens. By contrast, 'athlete', 'elite' and 'performance' appear in only one disjunct each and are not guaranteed; they are retained on their merits, subject to the specificity criteria of Section 3.5.</w:t>
      </w:r>
    </w:p>
    <w:p>
      <w:pPr>
        <w:spacing w:line="480" w:lineRule="auto" w:before="160" w:after="80"/>
        <w:jc w:val="left"/>
      </w:pPr>
      <w:r>
        <w:rPr>
          <w:b/>
          <w:i/>
          <w:sz w:val="24"/>
        </w:rPr>
        <w:t>3.4 Layered corpus design</w:t>
      </w:r>
    </w:p>
    <w:p>
      <w:pPr>
        <w:spacing w:line="480" w:lineRule="auto" w:after="0"/>
        <w:ind w:firstLine="720"/>
        <w:jc w:val="both"/>
      </w:pPr>
      <w:r>
        <w:rPr>
          <w:i w:val="0"/>
          <w:sz w:val="24"/>
        </w:rPr>
        <w:t>Every structural statistic is computed on three nested layers of the same documents: L1 (titles), L2 (titles plus author keywords), and L3 (titles, author keywords and abstracts). This design supports the concept stratification analysis in Section 4.6, which compares where concepts are mentioned against where they are structurally important. It also provides a robustness check: conclusions that hold across layers are unlikely to depend on the abstract-mining step.</w:t>
      </w:r>
    </w:p>
    <w:p>
      <w:pPr>
        <w:spacing w:line="480" w:lineRule="auto" w:before="160" w:after="80"/>
        <w:jc w:val="left"/>
      </w:pPr>
      <w:r>
        <w:rPr>
          <w:b/>
          <w:i/>
          <w:sz w:val="24"/>
        </w:rPr>
        <w:t>3.5 POS-aware concept extraction</w:t>
      </w:r>
    </w:p>
    <w:p>
      <w:pPr>
        <w:spacing w:line="480" w:lineRule="auto" w:after="0"/>
        <w:ind w:firstLine="720"/>
        <w:jc w:val="both"/>
      </w:pPr>
      <w:r>
        <w:rPr>
          <w:i w:val="0"/>
          <w:sz w:val="24"/>
        </w:rPr>
        <w:t>Concepts are mined from the L3 layer as noun-phrase-constrained n-grams of length one to four. Candidates are generated only from maximal runs of contiguous tokens tagged NOUN, PROPN or ADJ, with adjectives permitted only in non-final position. Because adjacency is evaluated on the filtered nominal stream, a deleted verb between two nouns does not generate a spurious bigram - a failure mode of naive n-gram mining over raw text. Candidates then pass through a seven-stage filter cascade, with every drop count reported so that the surviving inventory is fully auditable.</w:t>
      </w:r>
    </w:p>
    <w:p>
      <w:pPr>
        <w:spacing w:line="240" w:lineRule="auto" w:before="200" w:after="80"/>
      </w:pPr>
      <w:r>
        <w:rPr>
          <w:b/>
          <w:sz w:val="20"/>
        </w:rPr>
        <w:t>Table 2. Concept-extraction filter cascade.</w:t>
      </w:r>
    </w:p>
    <w:tbl>
      <w:tblPr>
        <w:tblStyle w:val="TableGrid"/>
        <w:tblW w:type="auto" w:w="0"/>
        <w:jc w:val="center"/>
        <w:tblLook w:firstColumn="1" w:firstRow="1" w:lastColumn="0" w:lastRow="0" w:noHBand="0" w:noVBand="1" w:val="04A0"/>
      </w:tblPr>
      <w:tblGrid>
        <w:gridCol w:w="3120"/>
        <w:gridCol w:w="3120"/>
        <w:gridCol w:w="3120"/>
      </w:tblGrid>
      <w:tr>
        <w:tc>
          <w:tcPr>
            <w:tcW w:type="dxa" w:w="2160"/>
            <w:shd w:fill="E8EDF2"/>
          </w:tcPr>
          <w:p>
            <w:pPr>
              <w:spacing w:line="240" w:lineRule="auto"/>
            </w:pPr>
            <w:r/>
            <w:r>
              <w:rPr>
                <w:b/>
                <w:sz w:val="17"/>
              </w:rPr>
              <w:t>Criterion</w:t>
            </w:r>
          </w:p>
        </w:tc>
        <w:tc>
          <w:tcPr>
            <w:tcW w:type="dxa" w:w="4896"/>
            <w:shd w:fill="E8EDF2"/>
          </w:tcPr>
          <w:p>
            <w:pPr>
              <w:spacing w:line="240" w:lineRule="auto"/>
            </w:pPr>
            <w:r/>
            <w:r>
              <w:rPr>
                <w:b/>
                <w:sz w:val="17"/>
              </w:rPr>
              <w:t>Rule</w:t>
            </w:r>
          </w:p>
        </w:tc>
        <w:tc>
          <w:tcPr>
            <w:tcW w:type="dxa" w:w="1152"/>
            <w:shd w:fill="E8EDF2"/>
          </w:tcPr>
          <w:p>
            <w:pPr>
              <w:spacing w:line="240" w:lineRule="auto"/>
            </w:pPr>
            <w:r/>
            <w:r>
              <w:rPr>
                <w:b/>
                <w:sz w:val="17"/>
              </w:rPr>
              <w:t>Dropped</w:t>
            </w:r>
          </w:p>
        </w:tc>
      </w:tr>
      <w:tr>
        <w:tc>
          <w:tcPr>
            <w:tcW w:type="dxa" w:w="2160"/>
          </w:tcPr>
          <w:p>
            <w:pPr>
              <w:spacing w:line="240" w:lineRule="auto"/>
            </w:pPr>
            <w:r/>
            <w:r>
              <w:rPr>
                <w:sz w:val="17"/>
              </w:rPr>
              <w:t>C1 Support</w:t>
            </w:r>
          </w:p>
        </w:tc>
        <w:tc>
          <w:tcPr>
            <w:tcW w:type="dxa" w:w="4896"/>
          </w:tcPr>
          <w:p>
            <w:pPr>
              <w:spacing w:line="240" w:lineRule="auto"/>
            </w:pPr>
            <w:r/>
            <w:r>
              <w:rPr>
                <w:sz w:val="17"/>
              </w:rPr>
              <w:t>df &gt;= 5</w:t>
            </w:r>
          </w:p>
        </w:tc>
        <w:tc>
          <w:tcPr>
            <w:tcW w:type="dxa" w:w="1152"/>
          </w:tcPr>
          <w:p>
            <w:pPr>
              <w:spacing w:line="240" w:lineRule="auto"/>
            </w:pPr>
            <w:r/>
            <w:r>
              <w:rPr>
                <w:sz w:val="17"/>
              </w:rPr>
              <w:t>22,768</w:t>
            </w:r>
          </w:p>
        </w:tc>
      </w:tr>
      <w:tr>
        <w:tc>
          <w:tcPr>
            <w:tcW w:type="dxa" w:w="2160"/>
          </w:tcPr>
          <w:p>
            <w:pPr>
              <w:spacing w:line="240" w:lineRule="auto"/>
            </w:pPr>
            <w:r/>
            <w:r>
              <w:rPr>
                <w:sz w:val="17"/>
              </w:rPr>
              <w:t>C2 Non-ubiquity</w:t>
            </w:r>
          </w:p>
        </w:tc>
        <w:tc>
          <w:tcPr>
            <w:tcW w:type="dxa" w:w="4896"/>
          </w:tcPr>
          <w:p>
            <w:pPr>
              <w:spacing w:line="240" w:lineRule="auto"/>
            </w:pPr>
            <w:r/>
            <w:r>
              <w:rPr>
                <w:sz w:val="17"/>
              </w:rPr>
              <w:t>df/N &lt; 0.60</w:t>
            </w:r>
          </w:p>
        </w:tc>
        <w:tc>
          <w:tcPr>
            <w:tcW w:type="dxa" w:w="1152"/>
          </w:tcPr>
          <w:p>
            <w:pPr>
              <w:spacing w:line="240" w:lineRule="auto"/>
            </w:pPr>
            <w:r/>
            <w:r>
              <w:rPr>
                <w:sz w:val="17"/>
              </w:rPr>
              <w:t>4</w:t>
            </w:r>
          </w:p>
        </w:tc>
      </w:tr>
      <w:tr>
        <w:tc>
          <w:tcPr>
            <w:tcW w:type="dxa" w:w="2160"/>
          </w:tcPr>
          <w:p>
            <w:pPr>
              <w:spacing w:line="240" w:lineRule="auto"/>
            </w:pPr>
            <w:r/>
            <w:r>
              <w:rPr>
                <w:sz w:val="17"/>
              </w:rPr>
              <w:t>C3 Query-artefact exclusion</w:t>
            </w:r>
          </w:p>
        </w:tc>
        <w:tc>
          <w:tcPr>
            <w:tcW w:type="dxa" w:w="4896"/>
          </w:tcPr>
          <w:p>
            <w:pPr>
              <w:spacing w:line="240" w:lineRule="auto"/>
            </w:pPr>
            <w:r/>
            <w:r>
              <w:rPr>
                <w:sz w:val="17"/>
              </w:rPr>
              <w:t>matches search string or necessary-condition token</w:t>
            </w:r>
          </w:p>
        </w:tc>
        <w:tc>
          <w:tcPr>
            <w:tcW w:type="dxa" w:w="1152"/>
          </w:tcPr>
          <w:p>
            <w:pPr>
              <w:spacing w:line="240" w:lineRule="auto"/>
            </w:pPr>
            <w:r/>
            <w:r>
              <w:rPr>
                <w:sz w:val="17"/>
              </w:rPr>
              <w:t>16</w:t>
            </w:r>
          </w:p>
        </w:tc>
      </w:tr>
      <w:tr>
        <w:tc>
          <w:tcPr>
            <w:tcW w:type="dxa" w:w="2160"/>
          </w:tcPr>
          <w:p>
            <w:pPr>
              <w:spacing w:line="240" w:lineRule="auto"/>
            </w:pPr>
            <w:r/>
            <w:r>
              <w:rPr>
                <w:sz w:val="17"/>
              </w:rPr>
              <w:t>C3b Research apparatus</w:t>
            </w:r>
          </w:p>
        </w:tc>
        <w:tc>
          <w:tcPr>
            <w:tcW w:type="dxa" w:w="4896"/>
          </w:tcPr>
          <w:p>
            <w:pPr>
              <w:spacing w:line="240" w:lineRule="auto"/>
            </w:pPr>
            <w:r/>
            <w:r>
              <w:rPr>
                <w:sz w:val="17"/>
              </w:rPr>
              <w:t>methodological vocabulary describing the instrument</w:t>
            </w:r>
          </w:p>
        </w:tc>
        <w:tc>
          <w:tcPr>
            <w:tcW w:type="dxa" w:w="1152"/>
          </w:tcPr>
          <w:p>
            <w:pPr>
              <w:spacing w:line="240" w:lineRule="auto"/>
            </w:pPr>
            <w:r/>
            <w:r>
              <w:rPr>
                <w:sz w:val="17"/>
              </w:rPr>
              <w:t>37</w:t>
            </w:r>
          </w:p>
        </w:tc>
      </w:tr>
      <w:tr>
        <w:tc>
          <w:tcPr>
            <w:tcW w:type="dxa" w:w="2160"/>
          </w:tcPr>
          <w:p>
            <w:pPr>
              <w:spacing w:line="240" w:lineRule="auto"/>
            </w:pPr>
            <w:r/>
            <w:r>
              <w:rPr>
                <w:sz w:val="17"/>
              </w:rPr>
              <w:t>C3c Metadata and cross-lingual</w:t>
            </w:r>
          </w:p>
        </w:tc>
        <w:tc>
          <w:tcPr>
            <w:tcW w:type="dxa" w:w="4896"/>
          </w:tcPr>
          <w:p>
            <w:pPr>
              <w:spacing w:line="240" w:lineRule="auto"/>
            </w:pPr>
            <w:r/>
            <w:r>
              <w:rPr>
                <w:sz w:val="17"/>
              </w:rPr>
              <w:t>export residue and non-English residue</w:t>
            </w:r>
          </w:p>
        </w:tc>
        <w:tc>
          <w:tcPr>
            <w:tcW w:type="dxa" w:w="1152"/>
          </w:tcPr>
          <w:p>
            <w:pPr>
              <w:spacing w:line="240" w:lineRule="auto"/>
            </w:pPr>
            <w:r/>
            <w:r>
              <w:rPr>
                <w:sz w:val="17"/>
              </w:rPr>
              <w:t>24</w:t>
            </w:r>
          </w:p>
        </w:tc>
      </w:tr>
      <w:tr>
        <w:tc>
          <w:tcPr>
            <w:tcW w:type="dxa" w:w="2160"/>
          </w:tcPr>
          <w:p>
            <w:pPr>
              <w:spacing w:line="240" w:lineRule="auto"/>
            </w:pPr>
            <w:r/>
            <w:r>
              <w:rPr>
                <w:sz w:val="17"/>
              </w:rPr>
              <w:t>C3d Single-character token</w:t>
            </w:r>
          </w:p>
        </w:tc>
        <w:tc>
          <w:tcPr>
            <w:tcW w:type="dxa" w:w="4896"/>
          </w:tcPr>
          <w:p>
            <w:pPr>
              <w:spacing w:line="240" w:lineRule="auto"/>
            </w:pPr>
            <w:r/>
            <w:r>
              <w:rPr>
                <w:sz w:val="17"/>
              </w:rPr>
              <w:t>n-gram contains a 1-character token</w:t>
            </w:r>
          </w:p>
        </w:tc>
        <w:tc>
          <w:tcPr>
            <w:tcW w:type="dxa" w:w="1152"/>
          </w:tcPr>
          <w:p>
            <w:pPr>
              <w:spacing w:line="240" w:lineRule="auto"/>
            </w:pPr>
            <w:r/>
            <w:r>
              <w:rPr>
                <w:sz w:val="17"/>
              </w:rPr>
              <w:t>10</w:t>
            </w:r>
          </w:p>
        </w:tc>
      </w:tr>
      <w:tr>
        <w:tc>
          <w:tcPr>
            <w:tcW w:type="dxa" w:w="2160"/>
          </w:tcPr>
          <w:p>
            <w:pPr>
              <w:spacing w:line="240" w:lineRule="auto"/>
            </w:pPr>
            <w:r/>
            <w:r>
              <w:rPr>
                <w:sz w:val="17"/>
              </w:rPr>
              <w:t>C3e Definitional construction</w:t>
            </w:r>
          </w:p>
        </w:tc>
        <w:tc>
          <w:tcPr>
            <w:tcW w:type="dxa" w:w="4896"/>
          </w:tcPr>
          <w:p>
            <w:pPr>
              <w:spacing w:line="240" w:lineRule="auto"/>
            </w:pPr>
            <w:r/>
            <w:r>
              <w:rPr>
                <w:sz w:val="17"/>
              </w:rPr>
              <w:t>'the term X', 'the notion of X'</w:t>
            </w:r>
          </w:p>
        </w:tc>
        <w:tc>
          <w:tcPr>
            <w:tcW w:type="dxa" w:w="1152"/>
          </w:tcPr>
          <w:p>
            <w:pPr>
              <w:spacing w:line="240" w:lineRule="auto"/>
            </w:pPr>
            <w:r/>
            <w:r>
              <w:rPr>
                <w:sz w:val="17"/>
              </w:rPr>
              <w:t>7</w:t>
            </w:r>
          </w:p>
        </w:tc>
      </w:tr>
      <w:tr>
        <w:tc>
          <w:tcPr>
            <w:tcW w:type="dxa" w:w="2160"/>
          </w:tcPr>
          <w:p>
            <w:pPr>
              <w:spacing w:line="240" w:lineRule="auto"/>
            </w:pPr>
            <w:r/>
            <w:r>
              <w:rPr>
                <w:sz w:val="17"/>
              </w:rPr>
              <w:t>C3f High-frequency English</w:t>
            </w:r>
          </w:p>
        </w:tc>
        <w:tc>
          <w:tcPr>
            <w:tcW w:type="dxa" w:w="4896"/>
          </w:tcPr>
          <w:p>
            <w:pPr>
              <w:spacing w:line="240" w:lineRule="auto"/>
            </w:pPr>
            <w:r/>
            <w:r>
              <w:rPr>
                <w:sz w:val="17"/>
              </w:rPr>
              <w:t>unigram in a standard high-frequency list</w:t>
            </w:r>
          </w:p>
        </w:tc>
        <w:tc>
          <w:tcPr>
            <w:tcW w:type="dxa" w:w="1152"/>
          </w:tcPr>
          <w:p>
            <w:pPr>
              <w:spacing w:line="240" w:lineRule="auto"/>
            </w:pPr>
            <w:r/>
            <w:r>
              <w:rPr>
                <w:sz w:val="17"/>
              </w:rPr>
              <w:t>373</w:t>
            </w:r>
          </w:p>
        </w:tc>
      </w:tr>
      <w:tr>
        <w:tc>
          <w:tcPr>
            <w:tcW w:type="dxa" w:w="2160"/>
          </w:tcPr>
          <w:p>
            <w:pPr>
              <w:spacing w:line="240" w:lineRule="auto"/>
            </w:pPr>
            <w:r/>
            <w:r>
              <w:rPr>
                <w:sz w:val="17"/>
              </w:rPr>
              <w:t>C4 Stopword inside</w:t>
            </w:r>
          </w:p>
        </w:tc>
        <w:tc>
          <w:tcPr>
            <w:tcW w:type="dxa" w:w="4896"/>
          </w:tcPr>
          <w:p>
            <w:pPr>
              <w:spacing w:line="240" w:lineRule="auto"/>
            </w:pPr>
            <w:r/>
            <w:r>
              <w:rPr>
                <w:sz w:val="17"/>
              </w:rPr>
              <w:t>contains a stopword</w:t>
            </w:r>
          </w:p>
        </w:tc>
        <w:tc>
          <w:tcPr>
            <w:tcW w:type="dxa" w:w="1152"/>
          </w:tcPr>
          <w:p>
            <w:pPr>
              <w:spacing w:line="240" w:lineRule="auto"/>
            </w:pPr>
            <w:r/>
            <w:r>
              <w:rPr>
                <w:sz w:val="17"/>
              </w:rPr>
              <w:t>42</w:t>
            </w:r>
          </w:p>
        </w:tc>
      </w:tr>
      <w:tr>
        <w:tc>
          <w:tcPr>
            <w:tcW w:type="dxa" w:w="2160"/>
          </w:tcPr>
          <w:p>
            <w:pPr>
              <w:spacing w:line="240" w:lineRule="auto"/>
            </w:pPr>
            <w:r/>
            <w:r>
              <w:rPr>
                <w:sz w:val="17"/>
              </w:rPr>
              <w:t>C5 Maximality</w:t>
            </w:r>
          </w:p>
        </w:tc>
        <w:tc>
          <w:tcPr>
            <w:tcW w:type="dxa" w:w="4896"/>
          </w:tcPr>
          <w:p>
            <w:pPr>
              <w:spacing w:line="240" w:lineRule="auto"/>
            </w:pPr>
            <w:r/>
            <w:r>
              <w:rPr>
                <w:sz w:val="17"/>
              </w:rPr>
              <w:t>strict sub-phrase of a longer n-gram with identical df</w:t>
            </w:r>
          </w:p>
        </w:tc>
        <w:tc>
          <w:tcPr>
            <w:tcW w:type="dxa" w:w="1152"/>
          </w:tcPr>
          <w:p>
            <w:pPr>
              <w:spacing w:line="240" w:lineRule="auto"/>
            </w:pPr>
            <w:r/>
            <w:r>
              <w:rPr>
                <w:sz w:val="17"/>
              </w:rPr>
              <w:t>19</w:t>
            </w:r>
          </w:p>
        </w:tc>
      </w:tr>
      <w:tr>
        <w:tc>
          <w:tcPr>
            <w:tcW w:type="dxa" w:w="2160"/>
          </w:tcPr>
          <w:p>
            <w:pPr>
              <w:spacing w:line="240" w:lineRule="auto"/>
            </w:pPr>
            <w:r/>
            <w:r>
              <w:rPr>
                <w:sz w:val="17"/>
              </w:rPr>
              <w:t>C6 Collocation (Dunning LLR)</w:t>
            </w:r>
          </w:p>
        </w:tc>
        <w:tc>
          <w:tcPr>
            <w:tcW w:type="dxa" w:w="4896"/>
          </w:tcPr>
          <w:p>
            <w:pPr>
              <w:spacing w:line="240" w:lineRule="auto"/>
            </w:pPr>
            <w:r/>
            <w:r>
              <w:rPr>
                <w:sz w:val="17"/>
              </w:rPr>
              <w:t>chi-square(1) &gt;= 10.828 for multiword terms</w:t>
            </w:r>
          </w:p>
        </w:tc>
        <w:tc>
          <w:tcPr>
            <w:tcW w:type="dxa" w:w="1152"/>
          </w:tcPr>
          <w:p>
            <w:pPr>
              <w:spacing w:line="240" w:lineRule="auto"/>
            </w:pPr>
            <w:r/>
            <w:r>
              <w:rPr>
                <w:sz w:val="17"/>
              </w:rPr>
              <w:t>108</w:t>
            </w:r>
          </w:p>
        </w:tc>
      </w:tr>
      <w:tr>
        <w:tc>
          <w:tcPr>
            <w:tcW w:type="dxa" w:w="2160"/>
          </w:tcPr>
          <w:p>
            <w:pPr>
              <w:spacing w:line="240" w:lineRule="auto"/>
            </w:pPr>
            <w:r/>
            <w:r>
              <w:rPr>
                <w:sz w:val="17"/>
              </w:rPr>
              <w:t>C7 Adjacenting</w:t>
            </w:r>
          </w:p>
        </w:tc>
        <w:tc>
          <w:tcPr>
            <w:tcW w:type="dxa" w:w="4896"/>
          </w:tcPr>
          <w:p>
            <w:pPr>
              <w:spacing w:line="240" w:lineRule="auto"/>
            </w:pPr>
            <w:r/>
            <w:r>
              <w:rPr>
                <w:sz w:val="17"/>
              </w:rPr>
              <w:t>min(left, right entropy) &gt;= 0.30 bits</w:t>
            </w:r>
          </w:p>
        </w:tc>
        <w:tc>
          <w:tcPr>
            <w:tcW w:type="dxa" w:w="1152"/>
          </w:tcPr>
          <w:p>
            <w:pPr>
              <w:spacing w:line="240" w:lineRule="auto"/>
            </w:pPr>
            <w:r/>
            <w:r>
              <w:rPr>
                <w:sz w:val="17"/>
              </w:rPr>
              <w:t>121</w:t>
            </w:r>
          </w:p>
        </w:tc>
      </w:tr>
      <w:tr>
        <w:tc>
          <w:tcPr>
            <w:tcW w:type="dxa" w:w="2160"/>
          </w:tcPr>
          <w:p>
            <w:pPr>
              <w:spacing w:line="240" w:lineRule="auto"/>
            </w:pPr>
            <w:r/>
            <w:r>
              <w:rPr>
                <w:sz w:val="17"/>
              </w:rPr>
              <w:t>Retained</w:t>
            </w:r>
          </w:p>
        </w:tc>
        <w:tc>
          <w:tcPr>
            <w:tcW w:type="dxa" w:w="4896"/>
          </w:tcPr>
          <w:p>
            <w:pPr>
              <w:spacing w:line="240" w:lineRule="auto"/>
            </w:pPr>
            <w:r/>
            <w:r>
              <w:rPr>
                <w:sz w:val="17"/>
              </w:rPr>
              <w:t>1,208 concepts (1,120 unigram, 88 multiword)</w:t>
            </w:r>
          </w:p>
        </w:tc>
        <w:tc>
          <w:tcPr>
            <w:tcW w:type="dxa" w:w="1152"/>
          </w:tcPr>
          <w:p>
            <w:pPr>
              <w:spacing w:line="240" w:lineRule="auto"/>
            </w:pPr>
            <w:r/>
            <w:r>
              <w:rPr>
                <w:sz w:val="17"/>
              </w:rPr>
              <w:t>-</w:t>
            </w:r>
          </w:p>
        </w:tc>
      </w:tr>
    </w:tbl>
    <w:p>
      <w:pPr>
        <w:spacing w:line="240" w:lineRule="auto" w:before="200" w:after="200"/>
      </w:pPr>
      <w:r>
        <w:rPr>
          <w:b/>
          <w:sz w:val="20"/>
        </w:rPr>
        <w:t>C1 dominates because the length-four n-gram space is combinatorially large; the substantive filters are C2-C7, which together removed 744 further candidates.</w:t>
      </w:r>
    </w:p>
    <w:p>
      <w:pPr>
        <w:spacing w:line="480" w:lineRule="auto" w:after="0"/>
        <w:ind w:firstLine="720"/>
        <w:jc w:val="both"/>
      </w:pPr>
      <w:r>
        <w:rPr>
          <w:i w:val="0"/>
          <w:sz w:val="24"/>
        </w:rPr>
        <w:t>Three criteria warrant elaboration. C5 (maximality) removes fragments: if “talent development programme” and “talent development” occur in exactly the same documents, the latter is not an independent concept. C6 uses Dunning's (1993) log-likelihood ratio for the 2x2 contingency table of the two constituent words against an independence null, at p = .001. For longer n-grams, where a single 2x2 table is undefined, every contiguous bigram within the phrase must itself be a significant collocation. C7 applies adjacency entropy - the Shannon entropy of tokens immediately left and right of each occurrence - so that only “atomic” concepts with variable contextual slots survive, preventing phrases such as “development” from absorbing unrelated neighbours.</w:t>
      </w:r>
    </w:p>
    <w:p>
      <w:pPr>
        <w:spacing w:line="480" w:lineRule="auto" w:after="0"/>
        <w:ind w:firstLine="720"/>
        <w:jc w:val="both"/>
      </w:pPr>
      <w:r>
        <w:rPr>
          <w:i w:val="0"/>
          <w:sz w:val="24"/>
        </w:rPr>
        <w:t>C3f requires a comment. A hand-built stoplist cannot keep pace with 604 abstracts, and without a high-frequency filter the inventory is dominated by generic English. We therefore apply a standard high-frequency English word list to unigrams only. This restriction is deliberate: multiword expressions assembled from generic words are frequently genuine domain concepts - “national team”, “social support”, “youth sport” - and a blanket component-wise rule would discard them. The full list is provided in Appendix B.</w:t>
      </w:r>
    </w:p>
    <w:p>
      <w:pPr>
        <w:spacing w:line="240" w:lineRule="auto" w:before="200" w:after="80"/>
      </w:pPr>
      <w:r>
        <w:rPr>
          <w:b/>
          <w:sz w:val="20"/>
        </w:rPr>
        <w:t>Table 3. Twelve most frequent retained concepts (document frequency, after SEMCON consolidation).</w:t>
      </w:r>
    </w:p>
    <w:tbl>
      <w:tblPr>
        <w:tblStyle w:val="TableGrid"/>
        <w:tblW w:type="auto" w:w="0"/>
        <w:jc w:val="center"/>
        <w:tblLook w:firstColumn="1" w:firstRow="1" w:lastColumn="0" w:lastRow="0" w:noHBand="0" w:noVBand="1" w:val="04A0"/>
      </w:tblPr>
      <w:tblGrid>
        <w:gridCol w:w="1170"/>
        <w:gridCol w:w="1170"/>
        <w:gridCol w:w="1170"/>
        <w:gridCol w:w="1170"/>
        <w:gridCol w:w="1170"/>
        <w:gridCol w:w="1170"/>
        <w:gridCol w:w="1170"/>
        <w:gridCol w:w="1170"/>
      </w:tblGrid>
      <w:tr>
        <w:tc>
          <w:tcPr>
            <w:tcW w:type="dxa" w:w="1656"/>
            <w:shd w:fill="E8EDF2"/>
          </w:tcPr>
          <w:p>
            <w:pPr>
              <w:spacing w:line="240" w:lineRule="auto"/>
            </w:pPr>
            <w:r/>
            <w:r>
              <w:rPr>
                <w:b/>
                <w:sz w:val="17"/>
              </w:rPr>
              <w:t>Concept</w:t>
            </w:r>
          </w:p>
        </w:tc>
        <w:tc>
          <w:tcPr>
            <w:tcW w:type="dxa" w:w="576"/>
            <w:shd w:fill="E8EDF2"/>
          </w:tcPr>
          <w:p>
            <w:pPr>
              <w:spacing w:line="240" w:lineRule="auto"/>
            </w:pPr>
            <w:r/>
            <w:r>
              <w:rPr>
                <w:b/>
                <w:sz w:val="17"/>
              </w:rPr>
              <w:t>df</w:t>
            </w:r>
          </w:p>
        </w:tc>
        <w:tc>
          <w:tcPr>
            <w:tcW w:type="dxa" w:w="1656"/>
            <w:shd w:fill="E8EDF2"/>
          </w:tcPr>
          <w:p>
            <w:pPr>
              <w:spacing w:line="240" w:lineRule="auto"/>
            </w:pPr>
            <w:r/>
            <w:r>
              <w:rPr>
                <w:b/>
                <w:sz w:val="17"/>
              </w:rPr>
              <w:t>Concept</w:t>
            </w:r>
          </w:p>
        </w:tc>
        <w:tc>
          <w:tcPr>
            <w:tcW w:type="dxa" w:w="576"/>
            <w:shd w:fill="E8EDF2"/>
          </w:tcPr>
          <w:p>
            <w:pPr>
              <w:spacing w:line="240" w:lineRule="auto"/>
            </w:pPr>
            <w:r/>
            <w:r>
              <w:rPr>
                <w:b/>
                <w:sz w:val="17"/>
              </w:rPr>
              <w:t>df</w:t>
            </w:r>
          </w:p>
        </w:tc>
        <w:tc>
          <w:tcPr>
            <w:tcW w:type="dxa" w:w="1656"/>
            <w:shd w:fill="E8EDF2"/>
          </w:tcPr>
          <w:p>
            <w:pPr>
              <w:spacing w:line="240" w:lineRule="auto"/>
            </w:pPr>
            <w:r/>
            <w:r>
              <w:rPr>
                <w:b/>
                <w:sz w:val="17"/>
              </w:rPr>
              <w:t>Concept</w:t>
            </w:r>
          </w:p>
        </w:tc>
        <w:tc>
          <w:tcPr>
            <w:tcW w:type="dxa" w:w="576"/>
            <w:shd w:fill="E8EDF2"/>
          </w:tcPr>
          <w:p>
            <w:pPr>
              <w:spacing w:line="240" w:lineRule="auto"/>
            </w:pPr>
            <w:r/>
            <w:r>
              <w:rPr>
                <w:b/>
                <w:sz w:val="17"/>
              </w:rPr>
              <w:t>df</w:t>
            </w:r>
          </w:p>
        </w:tc>
        <w:tc>
          <w:tcPr>
            <w:tcW w:type="dxa" w:w="1656"/>
            <w:shd w:fill="E8EDF2"/>
          </w:tcPr>
          <w:p>
            <w:pPr>
              <w:spacing w:line="240" w:lineRule="auto"/>
            </w:pPr>
            <w:r/>
            <w:r>
              <w:rPr>
                <w:b/>
                <w:sz w:val="17"/>
              </w:rPr>
              <w:t>Concept</w:t>
            </w:r>
          </w:p>
        </w:tc>
        <w:tc>
          <w:tcPr>
            <w:tcW w:type="dxa" w:w="576"/>
            <w:shd w:fill="E8EDF2"/>
          </w:tcPr>
          <w:p>
            <w:pPr>
              <w:spacing w:line="240" w:lineRule="auto"/>
            </w:pPr>
            <w:r/>
            <w:r>
              <w:rPr>
                <w:b/>
                <w:sz w:val="17"/>
              </w:rPr>
              <w:t>df</w:t>
            </w:r>
          </w:p>
        </w:tc>
      </w:tr>
      <w:tr>
        <w:tc>
          <w:tcPr>
            <w:tcW w:type="dxa" w:w="1656"/>
          </w:tcPr>
          <w:p>
            <w:pPr>
              <w:spacing w:line="240" w:lineRule="auto"/>
            </w:pPr>
            <w:r/>
            <w:r>
              <w:rPr>
                <w:sz w:val="17"/>
              </w:rPr>
              <w:t>elite</w:t>
            </w:r>
          </w:p>
        </w:tc>
        <w:tc>
          <w:tcPr>
            <w:tcW w:type="dxa" w:w="576"/>
          </w:tcPr>
          <w:p>
            <w:pPr>
              <w:spacing w:line="240" w:lineRule="auto"/>
            </w:pPr>
            <w:r/>
            <w:r>
              <w:rPr>
                <w:sz w:val="17"/>
              </w:rPr>
              <w:t>274</w:t>
            </w:r>
          </w:p>
        </w:tc>
        <w:tc>
          <w:tcPr>
            <w:tcW w:type="dxa" w:w="1656"/>
          </w:tcPr>
          <w:p>
            <w:pPr>
              <w:spacing w:line="240" w:lineRule="auto"/>
            </w:pPr>
            <w:r/>
            <w:r>
              <w:rPr>
                <w:sz w:val="17"/>
              </w:rPr>
              <w:t>national sport</w:t>
            </w:r>
          </w:p>
        </w:tc>
        <w:tc>
          <w:tcPr>
            <w:tcW w:type="dxa" w:w="576"/>
          </w:tcPr>
          <w:p>
            <w:pPr>
              <w:spacing w:line="240" w:lineRule="auto"/>
            </w:pPr>
            <w:r/>
            <w:r>
              <w:rPr>
                <w:sz w:val="17"/>
              </w:rPr>
              <w:t>41</w:t>
            </w:r>
          </w:p>
        </w:tc>
        <w:tc>
          <w:tcPr>
            <w:tcW w:type="dxa" w:w="1656"/>
          </w:tcPr>
          <w:p>
            <w:pPr>
              <w:spacing w:line="240" w:lineRule="auto"/>
            </w:pPr>
            <w:r/>
            <w:r>
              <w:rPr>
                <w:sz w:val="17"/>
              </w:rPr>
              <w:t>athlete development</w:t>
            </w:r>
          </w:p>
        </w:tc>
        <w:tc>
          <w:tcPr>
            <w:tcW w:type="dxa" w:w="576"/>
          </w:tcPr>
          <w:p>
            <w:pPr>
              <w:spacing w:line="240" w:lineRule="auto"/>
            </w:pPr>
            <w:r/>
            <w:r>
              <w:rPr>
                <w:sz w:val="17"/>
              </w:rPr>
              <w:t>41</w:t>
            </w:r>
          </w:p>
        </w:tc>
        <w:tc>
          <w:tcPr>
            <w:tcW w:type="dxa" w:w="1656"/>
          </w:tcPr>
          <w:p>
            <w:pPr>
              <w:spacing w:line="240" w:lineRule="auto"/>
            </w:pPr>
            <w:r/>
            <w:r>
              <w:rPr>
                <w:sz w:val="17"/>
              </w:rPr>
              <w:t>governance</w:t>
            </w:r>
          </w:p>
        </w:tc>
        <w:tc>
          <w:tcPr>
            <w:tcW w:type="dxa" w:w="576"/>
          </w:tcPr>
          <w:p>
            <w:pPr>
              <w:spacing w:line="240" w:lineRule="auto"/>
            </w:pPr>
            <w:r/>
            <w:r>
              <w:rPr>
                <w:sz w:val="17"/>
              </w:rPr>
              <w:t>55</w:t>
            </w:r>
          </w:p>
        </w:tc>
      </w:tr>
      <w:tr>
        <w:tc>
          <w:tcPr>
            <w:tcW w:type="dxa" w:w="1656"/>
          </w:tcPr>
          <w:p>
            <w:pPr>
              <w:spacing w:line="240" w:lineRule="auto"/>
            </w:pPr>
            <w:r/>
            <w:r>
              <w:rPr>
                <w:sz w:val="17"/>
              </w:rPr>
              <w:t>development</w:t>
            </w:r>
          </w:p>
        </w:tc>
        <w:tc>
          <w:tcPr>
            <w:tcW w:type="dxa" w:w="576"/>
          </w:tcPr>
          <w:p>
            <w:pPr>
              <w:spacing w:line="240" w:lineRule="auto"/>
            </w:pPr>
            <w:r/>
            <w:r>
              <w:rPr>
                <w:sz w:val="17"/>
              </w:rPr>
              <w:t>263</w:t>
            </w:r>
          </w:p>
        </w:tc>
        <w:tc>
          <w:tcPr>
            <w:tcW w:type="dxa" w:w="1656"/>
          </w:tcPr>
          <w:p>
            <w:pPr>
              <w:spacing w:line="240" w:lineRule="auto"/>
            </w:pPr>
            <w:r/>
            <w:r>
              <w:rPr>
                <w:sz w:val="17"/>
              </w:rPr>
              <w:t>youth sport</w:t>
            </w:r>
          </w:p>
        </w:tc>
        <w:tc>
          <w:tcPr>
            <w:tcW w:type="dxa" w:w="576"/>
          </w:tcPr>
          <w:p>
            <w:pPr>
              <w:spacing w:line="240" w:lineRule="auto"/>
            </w:pPr>
            <w:r/>
            <w:r>
              <w:rPr>
                <w:sz w:val="17"/>
              </w:rPr>
              <w:t>41</w:t>
            </w:r>
          </w:p>
        </w:tc>
        <w:tc>
          <w:tcPr>
            <w:tcW w:type="dxa" w:w="1656"/>
          </w:tcPr>
          <w:p>
            <w:pPr>
              <w:spacing w:line="240" w:lineRule="auto"/>
            </w:pPr>
            <w:r/>
            <w:r>
              <w:rPr>
                <w:sz w:val="17"/>
              </w:rPr>
              <w:t>mental health</w:t>
            </w:r>
          </w:p>
        </w:tc>
        <w:tc>
          <w:tcPr>
            <w:tcW w:type="dxa" w:w="576"/>
          </w:tcPr>
          <w:p>
            <w:pPr>
              <w:spacing w:line="240" w:lineRule="auto"/>
            </w:pPr>
            <w:r/>
            <w:r>
              <w:rPr>
                <w:sz w:val="17"/>
              </w:rPr>
              <w:t>28</w:t>
            </w:r>
          </w:p>
        </w:tc>
        <w:tc>
          <w:tcPr>
            <w:tcW w:type="dxa" w:w="1656"/>
          </w:tcPr>
          <w:p>
            <w:pPr>
              <w:spacing w:line="240" w:lineRule="auto"/>
            </w:pPr>
            <w:r/>
            <w:r>
              <w:rPr>
                <w:sz w:val="17"/>
              </w:rPr>
              <w:t>regulatory</w:t>
            </w:r>
          </w:p>
        </w:tc>
        <w:tc>
          <w:tcPr>
            <w:tcW w:type="dxa" w:w="576"/>
          </w:tcPr>
          <w:p>
            <w:pPr>
              <w:spacing w:line="240" w:lineRule="auto"/>
            </w:pPr>
            <w:r/>
            <w:r>
              <w:rPr>
                <w:sz w:val="17"/>
              </w:rPr>
              <w:t>48</w:t>
            </w:r>
          </w:p>
        </w:tc>
      </w:tr>
      <w:tr>
        <w:tc>
          <w:tcPr>
            <w:tcW w:type="dxa" w:w="1656"/>
          </w:tcPr>
          <w:p>
            <w:pPr>
              <w:spacing w:line="240" w:lineRule="auto"/>
            </w:pPr>
            <w:r/>
            <w:r>
              <w:rPr>
                <w:sz w:val="17"/>
              </w:rPr>
              <w:t>performance</w:t>
            </w:r>
          </w:p>
        </w:tc>
        <w:tc>
          <w:tcPr>
            <w:tcW w:type="dxa" w:w="576"/>
          </w:tcPr>
          <w:p>
            <w:pPr>
              <w:spacing w:line="240" w:lineRule="auto"/>
            </w:pPr>
            <w:r/>
            <w:r>
              <w:rPr>
                <w:sz w:val="17"/>
              </w:rPr>
              <w:t>251</w:t>
            </w:r>
          </w:p>
        </w:tc>
        <w:tc>
          <w:tcPr>
            <w:tcW w:type="dxa" w:w="1656"/>
          </w:tcPr>
          <w:p>
            <w:pPr>
              <w:spacing w:line="240" w:lineRule="auto"/>
            </w:pPr>
            <w:r/>
            <w:r>
              <w:rPr>
                <w:sz w:val="17"/>
              </w:rPr>
              <w:t>talent identification</w:t>
            </w:r>
          </w:p>
        </w:tc>
        <w:tc>
          <w:tcPr>
            <w:tcW w:type="dxa" w:w="576"/>
          </w:tcPr>
          <w:p>
            <w:pPr>
              <w:spacing w:line="240" w:lineRule="auto"/>
            </w:pPr>
            <w:r/>
            <w:r>
              <w:rPr>
                <w:sz w:val="17"/>
              </w:rPr>
              <w:t>31</w:t>
            </w:r>
          </w:p>
        </w:tc>
        <w:tc>
          <w:tcPr>
            <w:tcW w:type="dxa" w:w="1656"/>
          </w:tcPr>
          <w:p>
            <w:pPr>
              <w:spacing w:line="240" w:lineRule="auto"/>
            </w:pPr>
            <w:r/>
            <w:r>
              <w:rPr>
                <w:sz w:val="17"/>
              </w:rPr>
              <w:t>implementation</w:t>
            </w:r>
          </w:p>
        </w:tc>
        <w:tc>
          <w:tcPr>
            <w:tcW w:type="dxa" w:w="576"/>
          </w:tcPr>
          <w:p>
            <w:pPr>
              <w:spacing w:line="240" w:lineRule="auto"/>
            </w:pPr>
            <w:r/>
            <w:r>
              <w:rPr>
                <w:sz w:val="17"/>
              </w:rPr>
              <w:t>43</w:t>
            </w:r>
          </w:p>
        </w:tc>
        <w:tc>
          <w:tcPr>
            <w:tcW w:type="dxa" w:w="1656"/>
          </w:tcPr>
          <w:p>
            <w:pPr>
              <w:spacing w:line="240" w:lineRule="auto"/>
            </w:pPr>
            <w:r/>
            <w:r>
              <w:rPr>
                <w:sz w:val="17"/>
              </w:rPr>
              <w:t>federal</w:t>
            </w:r>
          </w:p>
        </w:tc>
        <w:tc>
          <w:tcPr>
            <w:tcW w:type="dxa" w:w="576"/>
          </w:tcPr>
          <w:p>
            <w:pPr>
              <w:spacing w:line="240" w:lineRule="auto"/>
            </w:pPr>
            <w:r/>
            <w:r>
              <w:rPr>
                <w:sz w:val="17"/>
              </w:rPr>
              <w:t>46</w:t>
            </w:r>
          </w:p>
        </w:tc>
      </w:tr>
      <w:tr>
        <w:tc>
          <w:tcPr>
            <w:tcW w:type="dxa" w:w="1656"/>
          </w:tcPr>
          <w:p>
            <w:pPr>
              <w:spacing w:line="240" w:lineRule="auto"/>
            </w:pPr>
            <w:r/>
            <w:r>
              <w:rPr>
                <w:sz w:val="17"/>
              </w:rPr>
              <w:t>systems</w:t>
            </w:r>
          </w:p>
        </w:tc>
        <w:tc>
          <w:tcPr>
            <w:tcW w:type="dxa" w:w="576"/>
          </w:tcPr>
          <w:p>
            <w:pPr>
              <w:spacing w:line="240" w:lineRule="auto"/>
            </w:pPr>
            <w:r/>
            <w:r>
              <w:rPr>
                <w:sz w:val="17"/>
              </w:rPr>
              <w:t>248</w:t>
            </w:r>
          </w:p>
        </w:tc>
        <w:tc>
          <w:tcPr>
            <w:tcW w:type="dxa" w:w="1656"/>
          </w:tcPr>
          <w:p>
            <w:pPr>
              <w:spacing w:line="240" w:lineRule="auto"/>
            </w:pPr>
            <w:r/>
            <w:r>
              <w:rPr>
                <w:sz w:val="17"/>
              </w:rPr>
              <w:t>coach</w:t>
            </w:r>
          </w:p>
        </w:tc>
        <w:tc>
          <w:tcPr>
            <w:tcW w:type="dxa" w:w="576"/>
          </w:tcPr>
          <w:p>
            <w:pPr>
              <w:spacing w:line="240" w:lineRule="auto"/>
            </w:pPr>
            <w:r/>
            <w:r>
              <w:rPr>
                <w:sz w:val="17"/>
              </w:rPr>
              <w:t>54</w:t>
            </w:r>
          </w:p>
        </w:tc>
        <w:tc>
          <w:tcPr>
            <w:tcW w:type="dxa" w:w="1656"/>
          </w:tcPr>
          <w:p>
            <w:pPr>
              <w:spacing w:line="240" w:lineRule="auto"/>
            </w:pPr>
            <w:r/>
            <w:r>
              <w:rPr>
                <w:sz w:val="17"/>
              </w:rPr>
              <w:t>stakeholders</w:t>
            </w:r>
          </w:p>
        </w:tc>
        <w:tc>
          <w:tcPr>
            <w:tcW w:type="dxa" w:w="576"/>
          </w:tcPr>
          <w:p>
            <w:pPr>
              <w:spacing w:line="240" w:lineRule="auto"/>
            </w:pPr>
            <w:r/>
            <w:r>
              <w:rPr>
                <w:sz w:val="17"/>
              </w:rPr>
              <w:t>58</w:t>
            </w:r>
          </w:p>
        </w:tc>
        <w:tc>
          <w:tcPr>
            <w:tcW w:type="dxa" w:w="1656"/>
          </w:tcPr>
          <w:p>
            <w:pPr>
              <w:spacing w:line="240" w:lineRule="auto"/>
            </w:pPr>
            <w:r/>
            <w:r>
              <w:rPr>
                <w:sz w:val="17"/>
              </w:rPr>
              <w:t>sport policy</w:t>
            </w:r>
          </w:p>
        </w:tc>
        <w:tc>
          <w:tcPr>
            <w:tcW w:type="dxa" w:w="576"/>
          </w:tcPr>
          <w:p>
            <w:pPr>
              <w:spacing w:line="240" w:lineRule="auto"/>
            </w:pPr>
            <w:r/>
            <w:r>
              <w:rPr>
                <w:sz w:val="17"/>
              </w:rPr>
              <w:t>44</w:t>
            </w:r>
          </w:p>
        </w:tc>
      </w:tr>
      <w:tr>
        <w:tc>
          <w:tcPr>
            <w:tcW w:type="dxa" w:w="1656"/>
          </w:tcPr>
          <w:p>
            <w:pPr>
              <w:spacing w:line="240" w:lineRule="auto"/>
            </w:pPr>
            <w:r/>
            <w:r>
              <w:rPr>
                <w:sz w:val="17"/>
              </w:rPr>
              <w:t>national</w:t>
            </w:r>
          </w:p>
        </w:tc>
        <w:tc>
          <w:tcPr>
            <w:tcW w:type="dxa" w:w="576"/>
          </w:tcPr>
          <w:p>
            <w:pPr>
              <w:spacing w:line="240" w:lineRule="auto"/>
            </w:pPr>
            <w:r/>
            <w:r>
              <w:rPr>
                <w:sz w:val="17"/>
              </w:rPr>
              <w:t>212</w:t>
            </w:r>
          </w:p>
        </w:tc>
        <w:tc>
          <w:tcPr>
            <w:tcW w:type="dxa" w:w="1656"/>
          </w:tcPr>
          <w:p>
            <w:pPr>
              <w:spacing w:line="240" w:lineRule="auto"/>
            </w:pPr>
            <w:r/>
            <w:r>
              <w:rPr>
                <w:sz w:val="17"/>
              </w:rPr>
              <w:t>policy</w:t>
            </w:r>
          </w:p>
        </w:tc>
        <w:tc>
          <w:tcPr>
            <w:tcW w:type="dxa" w:w="576"/>
          </w:tcPr>
          <w:p>
            <w:pPr>
              <w:spacing w:line="240" w:lineRule="auto"/>
            </w:pPr>
            <w:r/>
            <w:r>
              <w:rPr>
                <w:sz w:val="17"/>
              </w:rPr>
              <w:t>48</w:t>
            </w:r>
          </w:p>
        </w:tc>
        <w:tc>
          <w:tcPr>
            <w:tcW w:type="dxa" w:w="1656"/>
          </w:tcPr>
          <w:p>
            <w:pPr>
              <w:spacing w:line="240" w:lineRule="auto"/>
            </w:pPr>
            <w:r/>
            <w:r>
              <w:rPr>
                <w:sz w:val="17"/>
              </w:rPr>
              <w:t>club</w:t>
            </w:r>
          </w:p>
        </w:tc>
        <w:tc>
          <w:tcPr>
            <w:tcW w:type="dxa" w:w="576"/>
          </w:tcPr>
          <w:p>
            <w:pPr>
              <w:spacing w:line="240" w:lineRule="auto"/>
            </w:pPr>
            <w:r/>
            <w:r>
              <w:rPr>
                <w:sz w:val="17"/>
              </w:rPr>
              <w:t>45</w:t>
            </w:r>
          </w:p>
        </w:tc>
        <w:tc>
          <w:tcPr>
            <w:tcW w:type="dxa" w:w="1656"/>
          </w:tcPr>
          <w:p>
            <w:pPr>
              <w:spacing w:line="240" w:lineRule="auto"/>
            </w:pPr>
            <w:r/>
            <w:r>
              <w:rPr>
                <w:sz w:val="17"/>
              </w:rPr>
              <w:t>performance environment</w:t>
            </w:r>
          </w:p>
        </w:tc>
        <w:tc>
          <w:tcPr>
            <w:tcW w:type="dxa" w:w="576"/>
          </w:tcPr>
          <w:p>
            <w:pPr>
              <w:spacing w:line="240" w:lineRule="auto"/>
            </w:pPr>
            <w:r/>
            <w:r>
              <w:rPr>
                <w:sz w:val="17"/>
              </w:rPr>
              <w:t>41</w:t>
            </w:r>
          </w:p>
        </w:tc>
      </w:tr>
      <w:tr>
        <w:tc>
          <w:tcPr>
            <w:tcW w:type="dxa" w:w="1656"/>
          </w:tcPr>
          <w:p>
            <w:pPr>
              <w:spacing w:line="240" w:lineRule="auto"/>
            </w:pPr>
            <w:r/>
            <w:r>
              <w:rPr>
                <w:sz w:val="17"/>
              </w:rPr>
              <w:t>coaching</w:t>
            </w:r>
          </w:p>
        </w:tc>
        <w:tc>
          <w:tcPr>
            <w:tcW w:type="dxa" w:w="576"/>
          </w:tcPr>
          <w:p>
            <w:pPr>
              <w:spacing w:line="240" w:lineRule="auto"/>
            </w:pPr>
            <w:r/>
            <w:r>
              <w:rPr>
                <w:sz w:val="17"/>
              </w:rPr>
              <w:t>149</w:t>
            </w:r>
          </w:p>
        </w:tc>
        <w:tc>
          <w:tcPr>
            <w:tcW w:type="dxa" w:w="1656"/>
          </w:tcPr>
          <w:p>
            <w:pPr>
              <w:spacing w:line="240" w:lineRule="auto"/>
            </w:pPr>
            <w:r/>
            <w:r>
              <w:rPr>
                <w:sz w:val="17"/>
              </w:rPr>
              <w:t>olympic</w:t>
            </w:r>
          </w:p>
        </w:tc>
        <w:tc>
          <w:tcPr>
            <w:tcW w:type="dxa" w:w="576"/>
          </w:tcPr>
          <w:p>
            <w:pPr>
              <w:spacing w:line="240" w:lineRule="auto"/>
            </w:pPr>
            <w:r/>
            <w:r>
              <w:rPr>
                <w:sz w:val="17"/>
              </w:rPr>
              <w:t>48</w:t>
            </w:r>
          </w:p>
        </w:tc>
        <w:tc>
          <w:tcPr>
            <w:tcW w:type="dxa" w:w="1656"/>
          </w:tcPr>
          <w:p>
            <w:pPr>
              <w:spacing w:line="240" w:lineRule="auto"/>
            </w:pPr>
            <w:r/>
            <w:r>
              <w:rPr>
                <w:sz w:val="17"/>
              </w:rPr>
              <w:t>resources</w:t>
            </w:r>
          </w:p>
        </w:tc>
        <w:tc>
          <w:tcPr>
            <w:tcW w:type="dxa" w:w="576"/>
          </w:tcPr>
          <w:p>
            <w:pPr>
              <w:spacing w:line="240" w:lineRule="auto"/>
            </w:pPr>
            <w:r/>
            <w:r>
              <w:rPr>
                <w:sz w:val="17"/>
              </w:rPr>
              <w:t>43</w:t>
            </w:r>
          </w:p>
        </w:tc>
        <w:tc>
          <w:tcPr>
            <w:tcW w:type="dxa" w:w="1656"/>
          </w:tcPr>
          <w:p>
            <w:pPr>
              <w:spacing w:line="240" w:lineRule="auto"/>
            </w:pPr>
            <w:r/>
            <w:r>
              <w:rPr>
                <w:sz w:val="17"/>
              </w:rPr>
              <w:t>leadership</w:t>
            </w:r>
          </w:p>
        </w:tc>
        <w:tc>
          <w:tcPr>
            <w:tcW w:type="dxa" w:w="576"/>
          </w:tcPr>
          <w:p>
            <w:pPr>
              <w:spacing w:line="240" w:lineRule="auto"/>
            </w:pPr>
            <w:r/>
            <w:r>
              <w:rPr>
                <w:sz w:val="17"/>
              </w:rPr>
              <w:t>43</w:t>
            </w:r>
          </w:p>
        </w:tc>
      </w:tr>
    </w:tbl>
    <w:p>
      <w:pPr>
        <w:spacing w:line="240" w:lineRule="auto" w:before="200" w:after="200"/>
      </w:pPr>
      <w:r>
        <w:rPr>
          <w:b/>
          <w:sz w:val="20"/>
        </w:rPr>
        <w:t>Note: no research-apparatus, cross-lingual or export-residue vocabulary survives the cascade.</w:t>
      </w:r>
    </w:p>
    <w:p>
      <w:r>
        <w:br w:type="page"/>
      </w:r>
    </w:p>
    <w:p>
      <w:pPr>
        <w:spacing w:line="480" w:lineRule="auto" w:before="160" w:after="80"/>
        <w:jc w:val="left"/>
      </w:pPr>
      <w:r>
        <w:rPr>
          <w:b/>
          <w:i/>
          <w:sz w:val="24"/>
        </w:rPr>
        <w:t>3.6 SEMCON: semantic concept-family consolidation</w:t>
      </w:r>
    </w:p>
    <w:p>
      <w:pPr>
        <w:spacing w:line="480" w:lineRule="auto" w:after="0"/>
        <w:ind w:firstLine="720"/>
        <w:jc w:val="both"/>
      </w:pPr>
      <w:r>
        <w:rPr>
          <w:i w:val="0"/>
          <w:sz w:val="24"/>
        </w:rPr>
        <w:t>A co-word network built on surface strings is fragmented by synonymy. Several conceptually identical objects appear here under multiple names - “coaches”, “coach”, “coaching” and “sports coaching” are the same category; “athlete development” and “sport development” overlap substantially. This fragmentation disperses the centrality of integrative concepts across near-duplicate nodes and inflates the apparent number of themes. SEMCON addresses this in two stages designed to be conservative by construction.</w:t>
      </w:r>
    </w:p>
    <w:p>
      <w:pPr>
        <w:spacing w:line="480" w:lineRule="auto" w:before="160" w:after="80"/>
        <w:jc w:val="left"/>
      </w:pPr>
      <w:r>
        <w:rPr>
          <w:b/>
          <w:i/>
          <w:sz w:val="24"/>
        </w:rPr>
        <w:t>3.6.1 Stage 1: deterministic exact normalisation</w:t>
      </w:r>
    </w:p>
    <w:p>
      <w:pPr>
        <w:spacing w:line="480" w:lineRule="auto" w:after="0"/>
        <w:ind w:firstLine="720"/>
        <w:jc w:val="both"/>
      </w:pPr>
      <w:r>
        <w:rPr>
          <w:i w:val="0"/>
          <w:sz w:val="24"/>
        </w:rPr>
        <w:t>Morphological and orthographic variation is the dominant source of fragmentation in this corpus and admits exact treatment. A rule-based normaliser applies British-to-American orthographic mapping (organisation/organization, programme/program, behaviour/behavior, centre/center, defence/defense, and approximately sixty further mappings, which matter materially in a sport-science literature split between British and American systems) followed by conservative plural singularisation with an explicit irregular-form list. No model is involved and no error is possible. In this corpus this stage reduces 1,208 concepts to 1,098 normalised groups, merging 110 surface variants.</w:t>
      </w:r>
    </w:p>
    <w:p>
      <w:pPr>
        <w:spacing w:line="480" w:lineRule="auto" w:before="160" w:after="80"/>
        <w:jc w:val="left"/>
      </w:pPr>
      <w:r>
        <w:rPr>
          <w:b/>
          <w:i/>
          <w:sz w:val="24"/>
        </w:rPr>
        <w:t>3.6.2 Stage 2: lexical synonymy under complete linkage</w:t>
      </w:r>
    </w:p>
    <w:p>
      <w:pPr>
        <w:spacing w:line="480" w:lineRule="auto" w:after="0"/>
        <w:ind w:firstLine="720"/>
        <w:jc w:val="both"/>
      </w:pPr>
      <w:r>
        <w:rPr>
          <w:i w:val="0"/>
          <w:sz w:val="24"/>
        </w:rPr>
        <w:t>Residual synonymy is not morphological and requires semantic judgement. We encode each normalised concept with intfloat/e5-base-v2 (Wang et al., 2022), a recent contrastive sentence encoder, computing cosine similarity between mean-centred embeddings. Cosine similarity under this encoder is not interpretable without a correction step, for reasons documented below.</w:t>
      </w:r>
    </w:p>
    <w:p>
      <w:pPr>
        <w:spacing w:line="480" w:lineRule="auto" w:after="0"/>
        <w:ind w:firstLine="720"/>
        <w:jc w:val="both"/>
      </w:pPr>
      <w:r>
        <w:rPr>
          <w:i w:val="0"/>
          <w:sz w:val="24"/>
        </w:rPr>
        <w:t>Concepts are then grouped by complete-linkage agglomerative clustering with the distance threshold set to 1 - tau. Complete linkage guarantees that every pair within a family is mutually within threshold, so no concept can be linked to another only transitively. A hard cap of 12 members is imposed on family size; clusters exceeding the cap are rejected and their members retained as singletons rather than arbitrarily subdivided, because we decline to assert an internal structure we cannot justify.</w:t>
      </w:r>
    </w:p>
    <w:p>
      <w:pPr>
        <w:spacing w:line="480" w:lineRule="auto" w:before="160" w:after="80"/>
        <w:jc w:val="left"/>
      </w:pPr>
      <w:r>
        <w:rPr>
          <w:b/>
          <w:i/>
          <w:sz w:val="24"/>
        </w:rPr>
        <w:t>3.6.3 Anisotropy correction</w:t>
      </w:r>
    </w:p>
    <w:p>
      <w:pPr>
        <w:spacing w:line="480" w:lineRule="auto" w:after="0"/>
        <w:ind w:firstLine="720"/>
        <w:jc w:val="both"/>
      </w:pPr>
      <w:r>
        <w:rPr>
          <w:i w:val="0"/>
          <w:sz w:val="24"/>
        </w:rPr>
        <w:t>Neural sentence embeddings occupy a narrow region of representation space, so that unrelated items appear highly similar. This anisotropy has been extensively documented in the natural language processing literature (Ethayarajh, 2019; Li et al., 2020) and is severe in our setting.</w:t>
      </w:r>
    </w:p>
    <w:p>
      <w:pPr>
        <w:spacing w:before="160" w:after="80"/>
        <w:jc w:val="center"/>
      </w:pPr>
      <w:r>
        <w:drawing>
          <wp:inline xmlns:a="http://schemas.openxmlformats.org/drawingml/2006/main" xmlns:pic="http://schemas.openxmlformats.org/drawingml/2006/picture">
            <wp:extent cx="5760720" cy="2508984"/>
            <wp:docPr id="2" name="Picture 2"/>
            <wp:cNvGraphicFramePr>
              <a:graphicFrameLocks noChangeAspect="1"/>
            </wp:cNvGraphicFramePr>
            <a:graphic>
              <a:graphicData uri="http://schemas.openxmlformats.org/drawingml/2006/picture">
                <pic:pic>
                  <pic:nvPicPr>
                    <pic:cNvPr id="0" name="F3_anisotropy.png"/>
                    <pic:cNvPicPr/>
                  </pic:nvPicPr>
                  <pic:blipFill>
                    <a:blip r:embed="rId10"/>
                    <a:stretch>
                      <a:fillRect/>
                    </a:stretch>
                  </pic:blipFill>
                  <pic:spPr>
                    <a:xfrm>
                      <a:off x="0" y="0"/>
                      <a:ext cx="5760720" cy="2508984"/>
                    </a:xfrm>
                    <a:prstGeom prst="rect"/>
                  </pic:spPr>
                </pic:pic>
              </a:graphicData>
            </a:graphic>
          </wp:inline>
        </w:drawing>
      </w:r>
    </w:p>
    <w:p>
      <w:pPr>
        <w:spacing w:line="240" w:lineRule="auto" w:before="200" w:after="200"/>
      </w:pPr>
      <w:r>
        <w:rPr>
          <w:b/>
          <w:sz w:val="20"/>
        </w:rPr>
        <w:t>Figure 2. Distribution of cosine similarity between randomly sampled concept pairs, before and after mean-centring. Raw embeddings place unrelated concepts at mean cosine +0.808; after mean-centring the mean is -0.001 with mean absolute similarity 0.066. Without this correction every pair of concepts appears similar and the similarity matrix is uninformative.</w:t>
      </w:r>
    </w:p>
    <w:p>
      <w:pPr>
        <w:spacing w:line="480" w:lineRule="auto" w:after="0"/>
        <w:ind w:firstLine="720"/>
        <w:jc w:val="both"/>
      </w:pPr>
      <w:r>
        <w:rPr>
          <w:i w:val="0"/>
          <w:sz w:val="24"/>
        </w:rPr>
        <w:t>Empirical magnitude in this corpus: mean cosine between randomly sampled, semantically unrelated concept pairs is +0.808 under raw embeddings, falling to -0.001 after subtracting the mean embedding and renormalising. Any similarity threshold applied to the raw space would therefore merge substantially all concepts. All subsequent similarity computation uses mean-centred embeddings. We note for completeness that recent work questions whether anisotropy is the sole cause of poor downstream performance (Fuster Baggetto &amp; Fresno, 2022); that debate concerns anisotropy's causal role in embedding quality, and does not bear on our narrower requirement, which is that cosine similarities be usable as a discriminative measure in the first place.</w:t>
      </w:r>
    </w:p>
    <w:p>
      <w:pPr>
        <w:spacing w:line="480" w:lineRule="auto" w:before="160" w:after="80"/>
        <w:jc w:val="left"/>
      </w:pPr>
      <w:r>
        <w:rPr>
          <w:b/>
          <w:i/>
          <w:sz w:val="24"/>
        </w:rPr>
        <w:t>3.6.4 Two failures, and the resulting design</w:t>
      </w:r>
    </w:p>
    <w:p>
      <w:pPr>
        <w:spacing w:line="480" w:lineRule="auto" w:after="0"/>
        <w:ind w:firstLine="720"/>
        <w:jc w:val="both"/>
      </w:pPr>
      <w:r>
        <w:rPr>
          <w:i w:val="0"/>
          <w:sz w:val="24"/>
        </w:rPr>
        <w:t>Two methodological failures during development shaped the final design. Both are reported because they generalise, and because a reader evaluating SEMCON needs to know where its parameterisation came from.</w:t>
      </w:r>
    </w:p>
    <w:p>
      <w:pPr>
        <w:spacing w:line="480" w:lineRule="auto" w:after="0"/>
        <w:ind w:firstLine="720"/>
        <w:jc w:val="both"/>
      </w:pPr>
      <w:r>
        <w:rPr>
          <w:i w:val="0"/>
          <w:sz w:val="24"/>
        </w:rPr>
        <w:t>Failure one: connected components over a thresholded similarity graph. Our initial implementation built a concept-similarity graph and extracted families as connected components. This produced a single family of 132 members containing “elite”, “development”, “performance”, “national” and “policy”, and separately absorbed the integrative concept “youth sport” into a 72-member demographic family. The mechanism is chaining: connected components admit arbitrarily long transitive chains, so one spurious edge between two generic words merges an entire region of concept space. Complete linkage replaces connected components and makes chaining structurally impossible.</w:t>
      </w:r>
    </w:p>
    <w:p>
      <w:pPr>
        <w:spacing w:line="480" w:lineRule="auto" w:after="0"/>
        <w:ind w:firstLine="720"/>
        <w:jc w:val="both"/>
      </w:pPr>
      <w:r>
        <w:rPr>
          <w:i w:val="0"/>
          <w:sz w:val="24"/>
        </w:rPr>
        <w:t>Failure two: threshold selection by benchmark performance alone. We first calibrated tau on a hand-built benchmark of synonymous and contrastive concept pairs. This benchmark turned out to be saturated - zero false merges across the entire range of tau from 0.15 to 0.98 - so it could certify safety but could not discriminate between thresholds. Selecting tau by benchmark F1 would have been arbitrary. The validation design was changed in response.</w:t>
      </w:r>
    </w:p>
    <w:p>
      <w:pPr>
        <w:spacing w:line="480" w:lineRule="auto" w:before="160" w:after="80"/>
        <w:jc w:val="left"/>
      </w:pPr>
      <w:r>
        <w:rPr>
          <w:b/>
          <w:i/>
          <w:sz w:val="24"/>
        </w:rPr>
        <w:t>3.6.5 Threshold calibration by hand adjudication</w:t>
      </w:r>
    </w:p>
    <w:p>
      <w:pPr>
        <w:spacing w:line="480" w:lineRule="auto" w:after="0"/>
        <w:ind w:firstLine="720"/>
        <w:jc w:val="both"/>
      </w:pPr>
      <w:r>
        <w:rPr>
          <w:i w:val="0"/>
          <w:sz w:val="24"/>
        </w:rPr>
        <w:t>The revised design samples the pairs that complete-linkage would actually merge at each of eight candidate thresholds, presents them for manual adjudication, and derives the threshold from the audited outcome. The sampled population is the union of within-cluster pairs across the threshold grid - exactly the decisions the procedure makes. Verdicts were recorded on a binary scale: same conceptual object, or must remain separate. Ninety-five merges were adjudicated.</w:t>
      </w:r>
    </w:p>
    <w:p>
      <w:pPr>
        <w:spacing w:line="480" w:lineRule="auto" w:after="0"/>
        <w:ind w:firstLine="720"/>
        <w:jc w:val="both"/>
      </w:pPr>
      <w:r>
        <w:rPr>
          <w:i w:val="0"/>
          <w:sz w:val="24"/>
        </w:rPr>
        <w:t>The decision rule was fixed before examining the audited precision profile: select the smallest tau whose cumulative audited precision over all merges at or above that threshold is at least 0.95. This yields tau = 0.730 with cumulative precision 0.957 (70 merges, 67 judged correct). A pre-registered conservative criterion was preferred to argmax selection because the argmax within a flat optimum is arbitrary.</w:t>
      </w:r>
    </w:p>
    <w:p>
      <w:pPr>
        <w:spacing w:before="160" w:after="80"/>
        <w:jc w:val="center"/>
      </w:pPr>
      <w:r>
        <w:drawing>
          <wp:inline xmlns:a="http://schemas.openxmlformats.org/drawingml/2006/main" xmlns:pic="http://schemas.openxmlformats.org/drawingml/2006/picture">
            <wp:extent cx="5760720" cy="2535518"/>
            <wp:docPr id="3" name="Picture 3"/>
            <wp:cNvGraphicFramePr>
              <a:graphicFrameLocks noChangeAspect="1"/>
            </wp:cNvGraphicFramePr>
            <a:graphic>
              <a:graphicData uri="http://schemas.openxmlformats.org/drawingml/2006/picture">
                <pic:pic>
                  <pic:nvPicPr>
                    <pic:cNvPr id="0" name="F4_tau_calibration.png"/>
                    <pic:cNvPicPr/>
                  </pic:nvPicPr>
                  <pic:blipFill>
                    <a:blip r:embed="rId11"/>
                    <a:stretch>
                      <a:fillRect/>
                    </a:stretch>
                  </pic:blipFill>
                  <pic:spPr>
                    <a:xfrm>
                      <a:off x="0" y="0"/>
                      <a:ext cx="5760720" cy="2535518"/>
                    </a:xfrm>
                    <a:prstGeom prst="rect"/>
                  </pic:spPr>
                </pic:pic>
              </a:graphicData>
            </a:graphic>
          </wp:inline>
        </w:drawing>
      </w:r>
    </w:p>
    <w:p>
      <w:pPr>
        <w:spacing w:line="240" w:lineRule="auto" w:before="200" w:after="200"/>
      </w:pPr>
      <w:r>
        <w:rPr>
          <w:b/>
          <w:sz w:val="20"/>
        </w:rPr>
        <w:t>Figure 3. SEMCON threshold calibration. (a) Performance on the saturated safety benchmark, which cannot discriminate tau. (b) Cumulative precision from manual adjudication of 95 sampled merges; the selected operating point is the smallest tau meeting the 0.95 criterion.</w:t>
      </w:r>
    </w:p>
    <w:p>
      <w:pPr>
        <w:spacing w:line="480" w:lineRule="auto" w:after="0"/>
        <w:ind w:firstLine="720"/>
        <w:jc w:val="both"/>
      </w:pPr>
      <w:r>
        <w:rPr>
          <w:i w:val="0"/>
          <w:sz w:val="24"/>
        </w:rPr>
        <w:t>An independent automatic screen cross-checks the result. Every multi-member family is screened for antonym pairs from a curated list (public/private, elite/mass, competitive/cooperation, traditional/modern, global/local, and others) and for pairs sharing a word but scoring below 0.60 similarity. At the selected tau, 56 multi-member families were retained and none triggered either criterion, giving an upper bound on family-construction error of 1.000. The screen is not vacuous: at a rejected threshold of 0.42 it flags 18 of 453 multi-member families, including genuine antonym errors. A stability sweep over the family-size cap from 3 to 12 members shows identical partitioning across all values, because no family exceeds three members at the selected threshold.</w:t>
      </w:r>
    </w:p>
    <w:p>
      <w:pPr>
        <w:spacing w:line="480" w:lineRule="auto" w:before="160" w:after="80"/>
        <w:jc w:val="left"/>
      </w:pPr>
      <w:r>
        <w:rPr>
          <w:b/>
          <w:i/>
          <w:sz w:val="24"/>
        </w:rPr>
        <w:t>3.7 Co-occurrence network construction</w:t>
      </w:r>
    </w:p>
    <w:p>
      <w:pPr>
        <w:spacing w:line="480" w:lineRule="auto" w:after="0"/>
        <w:ind w:firstLine="720"/>
        <w:jc w:val="both"/>
      </w:pPr>
      <w:r>
        <w:rPr>
          <w:i w:val="0"/>
          <w:sz w:val="24"/>
        </w:rPr>
        <w:t>The document-by-concept-family matrix is binary. Nodes are selected within a specificity window: a family must appear in at least 8 documents to be informative, and in no more than 30% of documents to be more than a corpus constant. The upper bound excludes two families ('elite', 'systems'); the lower bound retains 669 of 1,041 families.</w:t>
      </w:r>
    </w:p>
    <w:p>
      <w:pPr>
        <w:spacing w:line="480" w:lineRule="auto" w:after="0"/>
        <w:ind w:firstLine="720"/>
        <w:jc w:val="both"/>
      </w:pPr>
      <w:r>
        <w:rPr>
          <w:i w:val="0"/>
          <w:sz w:val="24"/>
        </w:rPr>
        <w:t>Edge admission is by null-calibrated significance rather than by a similarity threshold. For each concept pair we compute association strength (the Jaccard-style overlap of the two document sets) and compare it against a degree-preserving bipartite randomisation null. The null is generated by edge-swap: a candidate family is exchanged between two documents, which preserves both document and concept degrees exactly while destroying topical association. Thirty draws suffice for a per-pair null distribution of association strength. An edge is retained when raw co-occurrence is at least 3 and the null-calibrated z-score is at least 2.5, yielding 5,061 edges.</w:t>
      </w:r>
    </w:p>
    <w:p>
      <w:pPr>
        <w:spacing w:line="240" w:lineRule="auto" w:before="200" w:after="80"/>
      </w:pPr>
      <w:r>
        <w:rPr>
          <w:b/>
          <w:sz w:val="20"/>
        </w:rPr>
        <w:t>Table 4. Edge-admission sensitivity to the null-calibrated threshold.</w:t>
      </w:r>
    </w:p>
    <w:tbl>
      <w:tblPr>
        <w:tblStyle w:val="TableGrid"/>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2448"/>
            <w:shd w:fill="E8EDF2"/>
          </w:tcPr>
          <w:p>
            <w:pPr>
              <w:spacing w:line="240" w:lineRule="auto"/>
            </w:pPr>
            <w:r/>
            <w:r>
              <w:rPr>
                <w:b/>
                <w:sz w:val="17"/>
              </w:rPr>
              <w:t>z threshold</w:t>
            </w:r>
          </w:p>
        </w:tc>
        <w:tc>
          <w:tcPr>
            <w:tcW w:type="dxa" w:w="1224"/>
            <w:shd w:fill="E8EDF2"/>
          </w:tcPr>
          <w:p>
            <w:pPr>
              <w:spacing w:line="240" w:lineRule="auto"/>
            </w:pPr>
            <w:r/>
            <w:r>
              <w:rPr>
                <w:b/>
                <w:sz w:val="17"/>
              </w:rPr>
              <w:t>1.0</w:t>
            </w:r>
          </w:p>
        </w:tc>
        <w:tc>
          <w:tcPr>
            <w:tcW w:type="dxa" w:w="1224"/>
            <w:shd w:fill="E8EDF2"/>
          </w:tcPr>
          <w:p>
            <w:pPr>
              <w:spacing w:line="240" w:lineRule="auto"/>
            </w:pPr>
            <w:r/>
            <w:r>
              <w:rPr>
                <w:b/>
                <w:sz w:val="17"/>
              </w:rPr>
              <w:t>1.5</w:t>
            </w:r>
          </w:p>
        </w:tc>
        <w:tc>
          <w:tcPr>
            <w:tcW w:type="dxa" w:w="1224"/>
            <w:shd w:fill="E8EDF2"/>
          </w:tcPr>
          <w:p>
            <w:pPr>
              <w:spacing w:line="240" w:lineRule="auto"/>
            </w:pPr>
            <w:r/>
            <w:r>
              <w:rPr>
                <w:b/>
                <w:sz w:val="17"/>
              </w:rPr>
              <w:t>2.0</w:t>
            </w:r>
          </w:p>
        </w:tc>
        <w:tc>
          <w:tcPr>
            <w:tcW w:type="dxa" w:w="1224"/>
            <w:shd w:fill="E8EDF2"/>
          </w:tcPr>
          <w:p>
            <w:pPr>
              <w:spacing w:line="240" w:lineRule="auto"/>
            </w:pPr>
            <w:r/>
            <w:r>
              <w:rPr>
                <w:b/>
                <w:sz w:val="17"/>
              </w:rPr>
              <w:t>2.5</w:t>
            </w:r>
          </w:p>
        </w:tc>
        <w:tc>
          <w:tcPr>
            <w:tcW w:type="dxa" w:w="1224"/>
            <w:shd w:fill="E8EDF2"/>
          </w:tcPr>
          <w:p>
            <w:pPr>
              <w:spacing w:line="240" w:lineRule="auto"/>
            </w:pPr>
            <w:r/>
            <w:r>
              <w:rPr>
                <w:b/>
                <w:sz w:val="17"/>
              </w:rPr>
              <w:t>3.0</w:t>
            </w:r>
          </w:p>
        </w:tc>
        <w:tc>
          <w:tcPr>
            <w:tcW w:type="dxa" w:w="1224"/>
            <w:shd w:fill="E8EDF2"/>
          </w:tcPr>
          <w:p>
            <w:pPr>
              <w:spacing w:line="240" w:lineRule="auto"/>
            </w:pPr>
            <w:r/>
            <w:r>
              <w:rPr>
                <w:b/>
                <w:sz w:val="17"/>
              </w:rPr>
              <w:t>4.0</w:t>
            </w:r>
          </w:p>
        </w:tc>
      </w:tr>
      <w:tr>
        <w:tc>
          <w:tcPr>
            <w:tcW w:type="dxa" w:w="2448"/>
          </w:tcPr>
          <w:p>
            <w:pPr>
              <w:spacing w:line="240" w:lineRule="auto"/>
            </w:pPr>
            <w:r/>
            <w:r>
              <w:rPr>
                <w:sz w:val="17"/>
              </w:rPr>
              <w:t>Edges retained</w:t>
            </w:r>
          </w:p>
        </w:tc>
        <w:tc>
          <w:tcPr>
            <w:tcW w:type="dxa" w:w="1224"/>
          </w:tcPr>
          <w:p>
            <w:pPr>
              <w:spacing w:line="240" w:lineRule="auto"/>
            </w:pPr>
            <w:r/>
            <w:r>
              <w:rPr>
                <w:sz w:val="17"/>
              </w:rPr>
              <w:t>27,694</w:t>
            </w:r>
          </w:p>
        </w:tc>
        <w:tc>
          <w:tcPr>
            <w:tcW w:type="dxa" w:w="1224"/>
          </w:tcPr>
          <w:p>
            <w:pPr>
              <w:spacing w:line="240" w:lineRule="auto"/>
            </w:pPr>
            <w:r/>
            <w:r>
              <w:rPr>
                <w:sz w:val="17"/>
              </w:rPr>
              <w:t>19,851</w:t>
            </w:r>
          </w:p>
        </w:tc>
        <w:tc>
          <w:tcPr>
            <w:tcW w:type="dxa" w:w="1224"/>
          </w:tcPr>
          <w:p>
            <w:pPr>
              <w:spacing w:line="240" w:lineRule="auto"/>
            </w:pPr>
            <w:r/>
            <w:r>
              <w:rPr>
                <w:sz w:val="17"/>
              </w:rPr>
              <w:t>13,478</w:t>
            </w:r>
          </w:p>
        </w:tc>
        <w:tc>
          <w:tcPr>
            <w:tcW w:type="dxa" w:w="1224"/>
          </w:tcPr>
          <w:p>
            <w:pPr>
              <w:spacing w:line="240" w:lineRule="auto"/>
            </w:pPr>
            <w:r/>
            <w:r>
              <w:rPr>
                <w:sz w:val="17"/>
              </w:rPr>
              <w:t>8,846</w:t>
            </w:r>
          </w:p>
        </w:tc>
        <w:tc>
          <w:tcPr>
            <w:tcW w:type="dxa" w:w="1224"/>
          </w:tcPr>
          <w:p>
            <w:pPr>
              <w:spacing w:line="240" w:lineRule="auto"/>
            </w:pPr>
            <w:r/>
            <w:r>
              <w:rPr>
                <w:sz w:val="17"/>
              </w:rPr>
              <w:t>5,906</w:t>
            </w:r>
          </w:p>
        </w:tc>
        <w:tc>
          <w:tcPr>
            <w:tcW w:type="dxa" w:w="1224"/>
          </w:tcPr>
          <w:p>
            <w:pPr>
              <w:spacing w:line="240" w:lineRule="auto"/>
            </w:pPr>
            <w:r/>
            <w:r>
              <w:rPr>
                <w:sz w:val="17"/>
              </w:rPr>
              <w:t>2,562</w:t>
            </w:r>
          </w:p>
        </w:tc>
      </w:tr>
      <w:tr>
        <w:tc>
          <w:tcPr>
            <w:tcW w:type="dxa" w:w="2448"/>
          </w:tcPr>
          <w:p>
            <w:pPr>
              <w:spacing w:line="240" w:lineRule="auto"/>
            </w:pPr>
            <w:r/>
            <w:r>
              <w:rPr>
                <w:sz w:val="17"/>
              </w:rPr>
              <w:t>Mean degree</w:t>
            </w:r>
          </w:p>
        </w:tc>
        <w:tc>
          <w:tcPr>
            <w:tcW w:type="dxa" w:w="1224"/>
          </w:tcPr>
          <w:p>
            <w:pPr>
              <w:spacing w:line="240" w:lineRule="auto"/>
            </w:pPr>
            <w:r/>
            <w:r>
              <w:rPr>
                <w:sz w:val="17"/>
              </w:rPr>
              <w:t>64.1</w:t>
            </w:r>
          </w:p>
        </w:tc>
        <w:tc>
          <w:tcPr>
            <w:tcW w:type="dxa" w:w="1224"/>
          </w:tcPr>
          <w:p>
            <w:pPr>
              <w:spacing w:line="240" w:lineRule="auto"/>
            </w:pPr>
            <w:r/>
            <w:r>
              <w:rPr>
                <w:sz w:val="17"/>
              </w:rPr>
              <w:t>46.0</w:t>
            </w:r>
          </w:p>
        </w:tc>
        <w:tc>
          <w:tcPr>
            <w:tcW w:type="dxa" w:w="1224"/>
          </w:tcPr>
          <w:p>
            <w:pPr>
              <w:spacing w:line="240" w:lineRule="auto"/>
            </w:pPr>
            <w:r/>
            <w:r>
              <w:rPr>
                <w:sz w:val="17"/>
              </w:rPr>
              <w:t>31.2</w:t>
            </w:r>
          </w:p>
        </w:tc>
        <w:tc>
          <w:tcPr>
            <w:tcW w:type="dxa" w:w="1224"/>
          </w:tcPr>
          <w:p>
            <w:pPr>
              <w:spacing w:line="240" w:lineRule="auto"/>
            </w:pPr>
            <w:r/>
            <w:r>
              <w:rPr>
                <w:sz w:val="17"/>
              </w:rPr>
              <w:t>20.5</w:t>
            </w:r>
          </w:p>
        </w:tc>
        <w:tc>
          <w:tcPr>
            <w:tcW w:type="dxa" w:w="1224"/>
          </w:tcPr>
          <w:p>
            <w:pPr>
              <w:spacing w:line="240" w:lineRule="auto"/>
            </w:pPr>
            <w:r/>
            <w:r>
              <w:rPr>
                <w:sz w:val="17"/>
              </w:rPr>
              <w:t>13.7</w:t>
            </w:r>
          </w:p>
        </w:tc>
        <w:tc>
          <w:tcPr>
            <w:tcW w:type="dxa" w:w="1224"/>
          </w:tcPr>
          <w:p>
            <w:pPr>
              <w:spacing w:line="240" w:lineRule="auto"/>
            </w:pPr>
            <w:r/>
            <w:r>
              <w:rPr>
                <w:sz w:val="17"/>
              </w:rPr>
              <w:t>5.9</w:t>
            </w:r>
          </w:p>
        </w:tc>
      </w:tr>
    </w:tbl>
    <w:p>
      <w:pPr>
        <w:spacing w:line="240" w:lineRule="auto" w:before="200" w:after="200"/>
      </w:pPr>
      <w:r>
        <w:rPr>
          <w:b/>
          <w:sz w:val="20"/>
        </w:rPr>
        <w:t>Note: computed on the specificity-windowed node set before finalising parameters; the selected operating point (z &gt;= 2.5) is shown in bold in the source table. The qualitative structure of the network is stable across this range, which is examined further in the sensitivity analysis.</w:t>
      </w:r>
    </w:p>
    <w:p>
      <w:pPr>
        <w:spacing w:line="480" w:lineRule="auto" w:before="160" w:after="80"/>
        <w:jc w:val="left"/>
      </w:pPr>
      <w:r>
        <w:rPr>
          <w:b/>
          <w:i/>
          <w:sz w:val="24"/>
        </w:rPr>
        <w:t>3.8 Centrality, community detection and the structural null</w:t>
      </w:r>
    </w:p>
    <w:p>
      <w:pPr>
        <w:spacing w:line="480" w:lineRule="auto" w:after="0"/>
        <w:ind w:firstLine="720"/>
        <w:jc w:val="both"/>
      </w:pPr>
      <w:r>
        <w:rPr>
          <w:i w:val="0"/>
          <w:sz w:val="24"/>
        </w:rPr>
        <w:t>Centrality is measured in the weighted network by strength, closeness, betweenness, eigenvector centrality and PageRank. Eigenvector centrality is undefined for disconnected graphs and is therefore computed per connected component and rescaled by component size. Communities are detected by the Louvain algorithm over a resolution sweep from 0.4 to 4.0 in steps of 0.1; modularity is evaluated for each resolution and the maximum retained.</w:t>
      </w:r>
    </w:p>
    <w:p>
      <w:pPr>
        <w:spacing w:line="480" w:lineRule="auto" w:after="0"/>
        <w:ind w:firstLine="720"/>
        <w:jc w:val="both"/>
      </w:pPr>
      <w:r>
        <w:rPr>
          <w:i w:val="0"/>
          <w:sz w:val="24"/>
        </w:rPr>
        <w:t>Structural claims are tested against a configuration-model null. For 300 randomisations preserving the observed degree sequence, we compute the modularity of the Louvain partition and the betweenness of each node, and convert observed values into z-scores. Betweenness in the null is computed by pivot sampling (k = 200) for computational tractability; the same sampled pivots are used for observed and null estimates so that the comparison is internally consistent. This null is the appropriate benchmark because it asks whether the observed degree sequence alone would generate apparent modularity. The answer is emphatically yes: a random graph with this degree sequence achieves Q = 0.220.</w:t>
      </w:r>
    </w:p>
    <w:p>
      <w:pPr>
        <w:spacing w:line="480" w:lineRule="auto" w:before="160" w:after="80"/>
        <w:jc w:val="left"/>
      </w:pPr>
      <w:r>
        <w:rPr>
          <w:b/>
          <w:i/>
          <w:sz w:val="24"/>
        </w:rPr>
        <w:t>3.9 Embedding-based topic modelling</w:t>
      </w:r>
    </w:p>
    <w:p>
      <w:pPr>
        <w:spacing w:line="480" w:lineRule="auto" w:after="0"/>
        <w:ind w:firstLine="720"/>
        <w:jc w:val="both"/>
      </w:pPr>
      <w:r>
        <w:rPr>
          <w:i w:val="0"/>
          <w:sz w:val="24"/>
        </w:rPr>
        <w:t>Thematic structure is assessed independently of the concept network. Documents in the 2013-2025 window are encoded with the same E5 encoder, mean-centred, reduced to five dimensions by UMAP (McInnes et al., 2018) and clustered by HDBSCAN (McInnes &amp; Healy, 2017). Density-based clustering is preferred to k-means because it determines the number of clusters from the data and assigns unclustered documents to a noise category rather than forcing every document into a topic. In a heterogeneous literature this is informative: the noise share measures the degree to which the corpus decomposes into coherent themes.</w:t>
      </w:r>
    </w:p>
    <w:p>
      <w:pPr>
        <w:spacing w:line="480" w:lineRule="auto" w:after="0"/>
        <w:ind w:firstLine="720"/>
        <w:jc w:val="both"/>
      </w:pPr>
      <w:r>
        <w:rPr>
          <w:i w:val="0"/>
          <w:sz w:val="24"/>
        </w:rPr>
        <w:t>HDBSCAN parameters are selected from a nine-point grid over min_samples (5, 8, 10) and min_cluster_size (12, 15, 20) by joint criteria: between 4 and 20 topics, noise share below 45%, smallest cluster at least 8 documents, and maximum silhouette score on the clustered subset. The selected configuration (min_samples = 8, min_cluster_size = 15) yields eight topics, 16.3% noise and silhouette 0.484.</w:t>
      </w:r>
    </w:p>
    <w:p>
      <w:pPr>
        <w:spacing w:line="480" w:lineRule="auto" w:after="0"/>
        <w:ind w:firstLine="720"/>
        <w:jc w:val="both"/>
      </w:pPr>
      <w:r>
        <w:rPr>
          <w:i w:val="0"/>
          <w:sz w:val="24"/>
        </w:rPr>
        <w:t>Topics are labelled twice. Primary labels use class-based TF-IDF (Grootendorst, 2022), which treats each topic as a class and computes term importance for the topic relative to the corpus. Secondary labels use the z-scored log-odds ratio with an informative Dirichlet prior (Monroe et al., 2008), which discriminates terms by whether they are more frequent in the topic than elsewhere, and is better behaved than raw frequency for small topics. Both are computed over the SEMCON concept families rather than raw tokens, so that topic labels are expressed in the same vocabulary as the concept network and the two analyses can be compared directly. Topic labels are additionally constrained to the specificity window so that ubiquitous generic vocabulary cannot win a label argument by mere frequency.</w:t>
      </w:r>
    </w:p>
    <w:p>
      <w:pPr>
        <w:spacing w:line="480" w:lineRule="auto" w:after="0"/>
        <w:ind w:firstLine="720"/>
        <w:jc w:val="both"/>
      </w:pPr>
      <w:r>
        <w:rPr>
          <w:i w:val="0"/>
          <w:sz w:val="24"/>
        </w:rPr>
        <w:t>Topic stability is assessed by refitting HDBSCAN on twelve bootstrap resamples and computing the adjusted Rand index of co-assignment between each replicate and the full-sample partition, so that the reader can judge whether topic boundaries are reproducible.</w:t>
      </w:r>
    </w:p>
    <w:p>
      <w:pPr>
        <w:spacing w:line="480" w:lineRule="auto" w:before="160" w:after="80"/>
        <w:jc w:val="left"/>
      </w:pPr>
      <w:r>
        <w:rPr>
          <w:b/>
          <w:i/>
          <w:sz w:val="24"/>
        </w:rPr>
        <w:t>3.10 Temporal and cross-national inference</w:t>
      </w:r>
    </w:p>
    <w:p>
      <w:pPr>
        <w:spacing w:line="480" w:lineRule="auto" w:after="0"/>
        <w:ind w:firstLine="720"/>
        <w:jc w:val="both"/>
      </w:pPr>
      <w:r>
        <w:rPr>
          <w:i w:val="0"/>
          <w:sz w:val="24"/>
        </w:rPr>
        <w:t>Temporal analysis uses four periods chosen to isolate structural breaks in the corpus: 2013-2016, 2017-2019, 2020-2021 and 2022-2025, the third separating the pandemic surge and its distinct literature. Association between topic and period is assessed by chi-square on the full contingency table, not per-cell tests, which would inflate the error rate. Because significant chi-square statistics can arise from negligible effects at this corpus size, Cramer's V is reported alongside, as is the count of cells with expected frequency below 5. Topic direction is scored as an emergence parameter - the topic's share of documents from 2021 onward minus the corpus baseline - with declines scored symmetrically on the pre-2020 share and thresholds of ±0.08 separating directions.</w:t>
      </w:r>
    </w:p>
    <w:p>
      <w:pPr>
        <w:spacing w:line="480" w:lineRule="auto" w:after="0"/>
        <w:ind w:firstLine="720"/>
        <w:jc w:val="both"/>
      </w:pPr>
      <w:r>
        <w:rPr>
          <w:i w:val="0"/>
          <w:sz w:val="24"/>
        </w:rPr>
        <w:t>Cross-national analysis assigns each document to its lead-affiliation country. Countries with at least 12 documents form the comparison set (10 of 54). Over-representation is tested by two-proportion z-tests of each country's topic or concept share against the rest of the corpus, with Benjamini-Hochberg false discovery rate correction across each family of tests. One exclusion requires explicit statement: demonymic and geographic concept families ('canada', 'norwegian', 'russia' and similar; 70 in total) are trivially over-represented in their own national corpus because the country variable derives from them. Testing them would be circular, so their results are excluded from reporting while remaining in the multiplicity correction.</w:t>
      </w:r>
    </w:p>
    <w:p>
      <w:pPr>
        <w:spacing w:line="480" w:lineRule="auto" w:before="160" w:after="80"/>
        <w:jc w:val="left"/>
      </w:pPr>
      <w:r>
        <w:rPr>
          <w:b/>
          <w:i/>
          <w:sz w:val="24"/>
        </w:rPr>
        <w:t>3.11 Multiplex construction and pillar assignment</w:t>
      </w:r>
    </w:p>
    <w:p>
      <w:pPr>
        <w:spacing w:line="480" w:lineRule="auto" w:after="0"/>
        <w:ind w:firstLine="720"/>
        <w:jc w:val="both"/>
      </w:pPr>
      <w:r>
        <w:rPr>
          <w:i w:val="0"/>
          <w:sz w:val="24"/>
        </w:rPr>
        <w:t>To test integration (RQ3), the network is decomposed into a multiplex with one layer per pillar. Pillar assignment is data-driven rather than asserted: each concept family is embedded with the same encoder and matched against 15 pillar prototypes, five per pillar, describing governance and regulation, sport innovation and technology, and athlete talent development. Assignment is by maximum cosine similarity after mean-centring, with families whose margin over the runner-up prototype falls below 0.02 recorded as unassigned. This procedure retains assignment confidence as an explicit quantity rather than presenting a hard partition.</w:t>
      </w:r>
    </w:p>
    <w:p>
      <w:pPr>
        <w:spacing w:line="480" w:lineRule="auto" w:after="0"/>
        <w:ind w:firstLine="720"/>
        <w:jc w:val="both"/>
      </w:pPr>
      <w:r>
        <w:rPr>
          <w:i w:val="0"/>
          <w:sz w:val="24"/>
        </w:rPr>
        <w:t>Integration is then assessed by the share of shortest paths between concepts that cross a pillar boundary, compared against a degree-preserving null in which pillar labels are randomly permuted. This null-calibrated formulation is essential: some cross-pillar traffic is unavoidable under any partition, so an uncalibrated overlap count is uninterpretable. Bridge concepts are identified by supra-centrality, the sum of a node's within-layer betweenness across the layers it inhabits, weighted by its total intra-layer degree.</w:t>
      </w:r>
    </w:p>
    <w:p>
      <w:pPr>
        <w:spacing w:line="480" w:lineRule="auto" w:before="160" w:after="80"/>
        <w:jc w:val="left"/>
      </w:pPr>
      <w:r>
        <w:rPr>
          <w:b/>
          <w:i/>
          <w:sz w:val="24"/>
        </w:rPr>
        <w:t>3.12 Robustness and reproducibility</w:t>
      </w:r>
    </w:p>
    <w:p>
      <w:pPr>
        <w:spacing w:line="480" w:lineRule="auto" w:after="0"/>
        <w:ind w:firstLine="720"/>
        <w:jc w:val="both"/>
      </w:pPr>
      <w:r>
        <w:rPr>
          <w:i w:val="0"/>
          <w:sz w:val="24"/>
        </w:rPr>
        <w:t>Four stability checks are reported: sensitivity of edge admission across the null-calibrated threshold (Table 4); stability of the community partition across the Louvain resolution sweep (Appendix E); stability of SEMCON across the family-size cap (Section 3.6.5); and topic stability by bootstrap (Section 3.9). Layer concordance between title-level and full-text structure provides an additional internal check: conclusions that survive all three evidence layers are unlikely to depend on any single processing decision.</w:t>
      </w:r>
    </w:p>
    <w:p>
      <w:r>
        <w:br w:type="page"/>
      </w:r>
    </w:p>
    <w:p>
      <w:pPr>
        <w:spacing w:line="480" w:lineRule="auto" w:before="240" w:after="120"/>
        <w:jc w:val="left"/>
      </w:pPr>
      <w:r>
        <w:rPr>
          <w:rFonts w:ascii="Times New Roman" w:hAnsi="Times New Roman"/>
          <w:b/>
          <w:sz w:val="24"/>
        </w:rPr>
        <w:t>4. Results</w:t>
      </w:r>
    </w:p>
    <w:p>
      <w:pPr>
        <w:spacing w:line="480" w:lineRule="auto" w:before="160" w:after="80"/>
        <w:jc w:val="left"/>
      </w:pPr>
      <w:r>
        <w:rPr>
          <w:b/>
          <w:i/>
          <w:sz w:val="24"/>
        </w:rPr>
        <w:t>4.1 Corpus characteristics</w:t>
      </w:r>
    </w:p>
    <w:p>
      <w:pPr>
        <w:spacing w:line="480" w:lineRule="auto" w:after="0"/>
        <w:ind w:firstLine="720"/>
        <w:jc w:val="both"/>
      </w:pPr>
      <w:r>
        <w:rPr>
          <w:i w:val="0"/>
          <w:sz w:val="24"/>
        </w:rPr>
        <w:t>The analytic corpus comprises 604 documents (Table 1), of which 448 fall within the 2013-2025 analysis window used for all inference. The corpus is dominated by articles (447) and book chapters (95). Ten journals account for the largest shares: International Journal of Sport Policy and Politics (23), Teoriya i Praktika Fizicheskoy Kultury (23), Frontiers in Sports and Active Living (21), International Journal of the History of Sport (19), International Review for the Sociology of Sport (18) and Sport in Society (13). Routledge accounts for 116 documents and Taylor &amp; Francis for 87, orienting the corpus toward the sport policy and sociology traditions rather than the performance-science literature. Authorship involves 1,514 unique authors across 8,024 citations, with a median of 3 citations per document and 184 uncited documents.</w:t>
      </w:r>
    </w:p>
    <w:p>
      <w:pPr>
        <w:spacing w:line="480" w:lineRule="auto" w:before="160" w:after="80"/>
        <w:jc w:val="left"/>
      </w:pPr>
      <w:r>
        <w:rPr>
          <w:b/>
          <w:i/>
          <w:sz w:val="24"/>
        </w:rPr>
        <w:t>4.2 The query string dominates frequency</w:t>
      </w:r>
    </w:p>
    <w:p>
      <w:pPr>
        <w:spacing w:line="480" w:lineRule="auto" w:after="0"/>
        <w:ind w:firstLine="720"/>
        <w:jc w:val="both"/>
      </w:pPr>
      <w:r>
        <w:rPr>
          <w:i w:val="0"/>
          <w:sz w:val="24"/>
        </w:rPr>
        <w:t>The query-artefact diagnosis is confirmed. Query-string terms average 20.4% document frequency against 5.5% for matched control terms, an inflation ratio of 3.67 (Figure 1). 'Athlete' occurs in 79.0% of documents, 'sport system' in 54.6%, 'elite sport' in 33.0% and 'sport ecosystem' in only 3.6%. The ordering is instructive: terms appearing in many query disjuncts are heavily inflated, while a term appearing in one disjunct 'sport ecosystem' is at corpus-typical frequency. This pattern confirms that the inflation is a property of query logic rather than of the field, and validates the necessary-condition argument for excluding 'sport' outright rather than empirically.</w:t>
      </w:r>
    </w:p>
    <w:p>
      <w:pPr>
        <w:spacing w:line="480" w:lineRule="auto" w:before="160" w:after="80"/>
        <w:jc w:val="left"/>
      </w:pPr>
      <w:r>
        <w:rPr>
          <w:b/>
          <w:i/>
          <w:sz w:val="24"/>
        </w:rPr>
        <w:t>4.3 Mined concept inventory</w:t>
      </w:r>
    </w:p>
    <w:p>
      <w:pPr>
        <w:spacing w:line="480" w:lineRule="auto" w:after="0"/>
        <w:ind w:firstLine="720"/>
        <w:jc w:val="both"/>
      </w:pPr>
      <w:r>
        <w:rPr>
          <w:i w:val="0"/>
          <w:sz w:val="24"/>
        </w:rPr>
        <w:t>The filter cascade reduces 24,749 candidate nominal n-grams to 1,208 concepts, of which 1,120 are unigrams and 88 multiword (Table 2). C1 (minimum support) removes the large majority; the substantive filters C2-C7 remove a further 744 candidates. The surviving inventory is dominated by substantive domain vocabulary (Table 3). The multiword concepts surviving the collocation and adjacenting criteria are genuine domain expressions: “athlete development” (56 documents), “performance sport” (54), “sport policy” (53), “national sport” (41), “youth sport” (41), “talent identification” (31), “mental health” (28), “sport development” (27) and “artificial intelligence” (14).</w:t>
      </w:r>
    </w:p>
    <w:p>
      <w:pPr>
        <w:spacing w:line="480" w:lineRule="auto" w:before="160" w:after="80"/>
        <w:jc w:val="left"/>
      </w:pPr>
      <w:r>
        <w:rPr>
          <w:b/>
          <w:i/>
          <w:sz w:val="24"/>
        </w:rPr>
        <w:t>4.4 SEMCON validation</w:t>
      </w:r>
    </w:p>
    <w:p>
      <w:pPr>
        <w:spacing w:line="480" w:lineRule="auto" w:before="160" w:after="80"/>
        <w:jc w:val="left"/>
      </w:pPr>
      <w:r>
        <w:rPr>
          <w:b/>
          <w:i/>
          <w:sz w:val="24"/>
        </w:rPr>
        <w:t>4.4 SEMCON validation</w:t>
      </w:r>
    </w:p>
    <w:p>
      <w:pPr>
        <w:spacing w:line="480" w:lineRule="auto" w:after="0"/>
        <w:ind w:firstLine="720"/>
        <w:jc w:val="both"/>
      </w:pPr>
      <w:r>
        <w:rPr>
          <w:i w:val="0"/>
          <w:sz w:val="24"/>
        </w:rPr>
        <w:t>The encoder is severely anisotropic in this application: mean cosine between randomly sampled concept pairs is +0.808 under raw embeddings and -0.001 after mean-centring, with mean absolute similarity 0.066 (Figure 2). On the raw space essentially every concept pair would exceed any plausible merge threshold. This single correction is what makes the remainder of the procedure well defined.</w:t>
      </w:r>
    </w:p>
    <w:p>
      <w:pPr>
        <w:spacing w:line="480" w:lineRule="auto" w:after="0"/>
        <w:ind w:firstLine="720"/>
        <w:jc w:val="both"/>
      </w:pPr>
      <w:r>
        <w:rPr>
          <w:i w:val="0"/>
          <w:sz w:val="24"/>
        </w:rPr>
        <w:t>Consolidation outcomes are correspondingly conservative. Stage 1 reduces 1,208 concepts to 1,098 groups, merging 110 morphological and orthographic variants; Stage 2 yields 1,041 families, of which 56 are multi-member and the largest contains three members. At the rejected threshold of 0.42, complete linkage produced 453 multi-member families with members up to six. Retained consolidations are semantically defensible, including “athlete performance” with “athletic performance”, “ethical” with “ethics”, “olympic” with “olympic sports”, “regulation” with “regulatory”, “sustainable” with “sustainability” and “korean” with “south korean”.</w:t>
      </w:r>
    </w:p>
    <w:p>
      <w:pPr>
        <w:spacing w:line="480" w:lineRule="auto" w:after="0"/>
        <w:ind w:firstLine="720"/>
        <w:jc w:val="both"/>
      </w:pPr>
      <w:r>
        <w:rPr>
          <w:i w:val="0"/>
          <w:sz w:val="24"/>
        </w:rPr>
        <w:t>The safety benchmark is saturated and cannot discriminate thresholds, confirming the necessity of the manual audit. Audited precision rises monotonically with similarity: 0.00 below approximately 0.55, 0.40 at 0.60, 0.86 at 0.70, 0.92 at 0.80 and 1.00 in every band at 0.85 and above. The pre-registered rule yields tau = 0.730 with cumulative precision 0.957 over 70 adjudicated merges (Figure 3). The independent automatic screen flags none of the 56 multi-member families, giving an upper bound on family-construction error of 1.000; the screen is not vacuous, since at the rejected threshold it flags 18 of 453 families including genuine antonym errors. The partition is identical across family-size caps from 3 to 12 members.</w:t>
      </w:r>
    </w:p>
    <w:p>
      <w:pPr>
        <w:spacing w:line="480" w:lineRule="auto" w:after="0"/>
        <w:ind w:firstLine="720"/>
        <w:jc w:val="both"/>
      </w:pPr>
      <w:r>
        <w:rPr>
          <w:i w:val="0"/>
          <w:sz w:val="24"/>
        </w:rPr>
        <w:t>Agreement between semantic families and independently computed co-occurrence communities is very low: adjusted Rand 0.002, NMI 0.477. This near-orthogonality is not a failure. The two partitions answer different questions: semantic families group concepts that mean the same thing, co-occurrence communities group concepts used together. The divergence is the informative quantity, because concepts that bridge meaning groups without co-usage ties are precisely the integrative concepts of interest.</w:t>
      </w:r>
    </w:p>
    <w:p>
      <w:pPr>
        <w:spacing w:line="480" w:lineRule="auto" w:before="160" w:after="80"/>
        <w:jc w:val="left"/>
      </w:pPr>
      <w:r>
        <w:rPr>
          <w:b/>
          <w:i/>
          <w:sz w:val="24"/>
        </w:rPr>
        <w:t>4.5 The field is a genuine community structure</w:t>
      </w:r>
    </w:p>
    <w:p>
      <w:pPr>
        <w:spacing w:line="480" w:lineRule="auto" w:after="0"/>
        <w:ind w:firstLine="720"/>
        <w:jc w:val="both"/>
      </w:pPr>
      <w:r>
        <w:rPr>
          <w:i w:val="0"/>
          <w:sz w:val="24"/>
        </w:rPr>
        <w:t>The concept network contains 669 nodes and 5,061 edges, with density 0.0226 and mean degree 15.1; two nodes are isolated. Louvain community detection over the resolution sweep yields maximum modularity at resolution 1.1 with ten communities (Figure 5).</w:t>
      </w:r>
    </w:p>
    <w:p>
      <w:pPr>
        <w:spacing w:line="480" w:lineRule="auto" w:after="0"/>
        <w:ind w:firstLine="720"/>
        <w:jc w:val="both"/>
      </w:pPr>
      <w:r>
        <w:rPr>
          <w:i w:val="0"/>
          <w:sz w:val="24"/>
        </w:rPr>
        <w:t>The substantive finding is that this modularity is not an artefact. Observed modularity is Q = 0.446 against a degree-preserving configuration-model null of 0.220 ± 0.004 over 300 randomisations, giving z = +64.3 and a one-sided p of .003 (the minimum attainable with 300 draws). The null is essential to this claim: a random graph with the same degree sequence reaches Q = 0.220, so roughly half of the raw modularity value is explained by degree heterogeneity alone. The field's community structure exceeds chance by a factor of approximately two.</w:t>
      </w:r>
    </w:p>
    <w:p>
      <w:pPr>
        <w:spacing w:before="160" w:after="80"/>
        <w:jc w:val="center"/>
      </w:pPr>
      <w:r>
        <w:drawing>
          <wp:inline xmlns:a="http://schemas.openxmlformats.org/drawingml/2006/main" xmlns:pic="http://schemas.openxmlformats.org/drawingml/2006/picture">
            <wp:extent cx="6035040" cy="3346212"/>
            <wp:docPr id="4" name="Picture 4"/>
            <wp:cNvGraphicFramePr>
              <a:graphicFrameLocks noChangeAspect="1"/>
            </wp:cNvGraphicFramePr>
            <a:graphic>
              <a:graphicData uri="http://schemas.openxmlformats.org/drawingml/2006/picture">
                <pic:pic>
                  <pic:nvPicPr>
                    <pic:cNvPr id="0" name="F5_network.png"/>
                    <pic:cNvPicPr/>
                  </pic:nvPicPr>
                  <pic:blipFill>
                    <a:blip r:embed="rId12"/>
                    <a:stretch>
                      <a:fillRect/>
                    </a:stretch>
                  </pic:blipFill>
                  <pic:spPr>
                    <a:xfrm>
                      <a:off x="0" y="0"/>
                      <a:ext cx="6035040" cy="3346212"/>
                    </a:xfrm>
                    <a:prstGeom prst="rect"/>
                  </pic:spPr>
                </pic:pic>
              </a:graphicData>
            </a:graphic>
          </wp:inline>
        </w:drawing>
      </w:r>
    </w:p>
    <w:p>
      <w:pPr>
        <w:spacing w:line="240" w:lineRule="auto" w:before="200" w:after="200"/>
      </w:pPr>
      <w:r>
        <w:rPr>
          <w:b/>
          <w:sz w:val="20"/>
        </w:rPr>
        <w:t>Figure 4. The concept co-occurrence network (backbone shown for legibility). (a) Communities; (b) bridging concepts labelled by betweenness, sized by degree. Ten communities at resolution 1.1, Q = 0.446, z = +64.3 against the configuration-model null.</w:t>
      </w:r>
    </w:p>
    <w:p>
      <w:pPr>
        <w:spacing w:line="240" w:lineRule="auto" w:before="200" w:after="80"/>
      </w:pPr>
      <w:r>
        <w:rPr>
          <w:b/>
          <w:sz w:val="20"/>
        </w:rPr>
        <w:t>Table 5. Communities and their defining concepts.</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648"/>
            <w:shd w:fill="E8EDF2"/>
          </w:tcPr>
          <w:p>
            <w:pPr>
              <w:spacing w:line="240" w:lineRule="auto"/>
            </w:pPr>
            <w:r/>
            <w:r>
              <w:rPr>
                <w:b/>
                <w:sz w:val="17"/>
              </w:rPr>
              <w:t>Comm.</w:t>
            </w:r>
          </w:p>
        </w:tc>
        <w:tc>
          <w:tcPr>
            <w:tcW w:type="dxa" w:w="432"/>
            <w:shd w:fill="E8EDF2"/>
          </w:tcPr>
          <w:p>
            <w:pPr>
              <w:spacing w:line="240" w:lineRule="auto"/>
            </w:pPr>
            <w:r/>
            <w:r>
              <w:rPr>
                <w:b/>
                <w:sz w:val="17"/>
              </w:rPr>
              <w:t>n</w:t>
            </w:r>
          </w:p>
        </w:tc>
        <w:tc>
          <w:tcPr>
            <w:tcW w:type="dxa" w:w="792"/>
            <w:shd w:fill="E8EDF2"/>
          </w:tcPr>
          <w:p>
            <w:pPr>
              <w:spacing w:line="240" w:lineRule="auto"/>
            </w:pPr>
            <w:r/>
            <w:r>
              <w:rPr>
                <w:b/>
                <w:sz w:val="17"/>
              </w:rPr>
              <w:t>Sum df</w:t>
            </w:r>
          </w:p>
        </w:tc>
        <w:tc>
          <w:tcPr>
            <w:tcW w:type="dxa" w:w="7200"/>
            <w:shd w:fill="E8EDF2"/>
          </w:tcPr>
          <w:p>
            <w:pPr>
              <w:spacing w:line="240" w:lineRule="auto"/>
            </w:pPr>
            <w:r/>
            <w:r>
              <w:rPr>
                <w:b/>
                <w:sz w:val="17"/>
              </w:rPr>
              <w:t>Defining concepts</w:t>
            </w:r>
          </w:p>
        </w:tc>
      </w:tr>
      <w:tr>
        <w:tc>
          <w:tcPr>
            <w:tcW w:type="dxa" w:w="648"/>
          </w:tcPr>
          <w:p>
            <w:pPr>
              <w:spacing w:line="240" w:lineRule="auto"/>
            </w:pPr>
            <w:r/>
            <w:r>
              <w:rPr>
                <w:sz w:val="17"/>
              </w:rPr>
              <w:t>C0</w:t>
            </w:r>
          </w:p>
        </w:tc>
        <w:tc>
          <w:tcPr>
            <w:tcW w:type="dxa" w:w="432"/>
          </w:tcPr>
          <w:p>
            <w:pPr>
              <w:spacing w:line="240" w:lineRule="auto"/>
            </w:pPr>
            <w:r/>
            <w:r>
              <w:rPr>
                <w:sz w:val="17"/>
              </w:rPr>
              <w:t>103</w:t>
            </w:r>
          </w:p>
        </w:tc>
        <w:tc>
          <w:tcPr>
            <w:tcW w:type="dxa" w:w="792"/>
          </w:tcPr>
          <w:p>
            <w:pPr>
              <w:spacing w:line="240" w:lineRule="auto"/>
            </w:pPr>
            <w:r/>
            <w:r>
              <w:rPr>
                <w:sz w:val="17"/>
              </w:rPr>
              <w:t>2,429</w:t>
            </w:r>
          </w:p>
        </w:tc>
        <w:tc>
          <w:tcPr>
            <w:tcW w:type="dxa" w:w="7200"/>
          </w:tcPr>
          <w:p>
            <w:pPr>
              <w:spacing w:line="240" w:lineRule="auto"/>
            </w:pPr>
            <w:r/>
            <w:r>
              <w:rPr>
                <w:sz w:val="17"/>
              </w:rPr>
              <w:t>olympic, sporting, competitive, countries, games, policies, resources, global</w:t>
            </w:r>
          </w:p>
        </w:tc>
      </w:tr>
      <w:tr>
        <w:tc>
          <w:tcPr>
            <w:tcW w:type="dxa" w:w="648"/>
          </w:tcPr>
          <w:p>
            <w:pPr>
              <w:spacing w:line="240" w:lineRule="auto"/>
            </w:pPr>
            <w:r/>
            <w:r>
              <w:rPr>
                <w:sz w:val="17"/>
              </w:rPr>
              <w:t>C1</w:t>
            </w:r>
          </w:p>
        </w:tc>
        <w:tc>
          <w:tcPr>
            <w:tcW w:type="dxa" w:w="432"/>
          </w:tcPr>
          <w:p>
            <w:pPr>
              <w:spacing w:line="240" w:lineRule="auto"/>
            </w:pPr>
            <w:r/>
            <w:r>
              <w:rPr>
                <w:sz w:val="17"/>
              </w:rPr>
              <w:t>103</w:t>
            </w:r>
          </w:p>
        </w:tc>
        <w:tc>
          <w:tcPr>
            <w:tcW w:type="dxa" w:w="792"/>
          </w:tcPr>
          <w:p>
            <w:pPr>
              <w:spacing w:line="240" w:lineRule="auto"/>
            </w:pPr>
            <w:r/>
            <w:r>
              <w:rPr>
                <w:sz w:val="17"/>
              </w:rPr>
              <w:t>2,159</w:t>
            </w:r>
          </w:p>
        </w:tc>
        <w:tc>
          <w:tcPr>
            <w:tcW w:type="dxa" w:w="7200"/>
          </w:tcPr>
          <w:p>
            <w:pPr>
              <w:spacing w:line="240" w:lineRule="auto"/>
            </w:pPr>
            <w:r/>
            <w:r>
              <w:rPr>
                <w:sz w:val="17"/>
              </w:rPr>
              <w:t>performance sport, programs, outcomes, models, interventions, psychological</w:t>
            </w:r>
          </w:p>
        </w:tc>
      </w:tr>
      <w:tr>
        <w:tc>
          <w:tcPr>
            <w:tcW w:type="dxa" w:w="648"/>
          </w:tcPr>
          <w:p>
            <w:pPr>
              <w:spacing w:line="240" w:lineRule="auto"/>
            </w:pPr>
            <w:r/>
            <w:r>
              <w:rPr>
                <w:sz w:val="17"/>
              </w:rPr>
              <w:t>C2</w:t>
            </w:r>
          </w:p>
        </w:tc>
        <w:tc>
          <w:tcPr>
            <w:tcW w:type="dxa" w:w="432"/>
          </w:tcPr>
          <w:p>
            <w:pPr>
              <w:spacing w:line="240" w:lineRule="auto"/>
            </w:pPr>
            <w:r/>
            <w:r>
              <w:rPr>
                <w:sz w:val="17"/>
              </w:rPr>
              <w:t>90</w:t>
            </w:r>
          </w:p>
        </w:tc>
        <w:tc>
          <w:tcPr>
            <w:tcW w:type="dxa" w:w="792"/>
          </w:tcPr>
          <w:p>
            <w:pPr>
              <w:spacing w:line="240" w:lineRule="auto"/>
            </w:pPr>
            <w:r/>
            <w:r>
              <w:rPr>
                <w:sz w:val="17"/>
              </w:rPr>
              <w:t>1,714</w:t>
            </w:r>
          </w:p>
        </w:tc>
        <w:tc>
          <w:tcPr>
            <w:tcW w:type="dxa" w:w="7200"/>
          </w:tcPr>
          <w:p>
            <w:pPr>
              <w:spacing w:line="240" w:lineRule="auto"/>
            </w:pPr>
            <w:r/>
            <w:r>
              <w:rPr>
                <w:sz w:val="17"/>
              </w:rPr>
              <w:t>teams, players, women, values, gender, systemic, inclusion, status</w:t>
            </w:r>
          </w:p>
        </w:tc>
      </w:tr>
      <w:tr>
        <w:tc>
          <w:tcPr>
            <w:tcW w:type="dxa" w:w="648"/>
          </w:tcPr>
          <w:p>
            <w:pPr>
              <w:spacing w:line="240" w:lineRule="auto"/>
            </w:pPr>
            <w:r/>
            <w:r>
              <w:rPr>
                <w:sz w:val="17"/>
              </w:rPr>
              <w:t>C3</w:t>
            </w:r>
          </w:p>
        </w:tc>
        <w:tc>
          <w:tcPr>
            <w:tcW w:type="dxa" w:w="432"/>
          </w:tcPr>
          <w:p>
            <w:pPr>
              <w:spacing w:line="240" w:lineRule="auto"/>
            </w:pPr>
            <w:r/>
            <w:r>
              <w:rPr>
                <w:sz w:val="17"/>
              </w:rPr>
              <w:t>88</w:t>
            </w:r>
          </w:p>
        </w:tc>
        <w:tc>
          <w:tcPr>
            <w:tcW w:type="dxa" w:w="792"/>
          </w:tcPr>
          <w:p>
            <w:pPr>
              <w:spacing w:line="240" w:lineRule="auto"/>
            </w:pPr>
            <w:r/>
            <w:r>
              <w:rPr>
                <w:sz w:val="17"/>
              </w:rPr>
              <w:t>2,168</w:t>
            </w:r>
          </w:p>
        </w:tc>
        <w:tc>
          <w:tcPr>
            <w:tcW w:type="dxa" w:w="7200"/>
          </w:tcPr>
          <w:p>
            <w:pPr>
              <w:spacing w:line="240" w:lineRule="auto"/>
            </w:pPr>
            <w:r/>
            <w:r>
              <w:rPr>
                <w:sz w:val="17"/>
              </w:rPr>
              <w:t>coaches, athlete development, youth, participation, talent, coaching</w:t>
            </w:r>
          </w:p>
        </w:tc>
      </w:tr>
      <w:tr>
        <w:tc>
          <w:tcPr>
            <w:tcW w:type="dxa" w:w="648"/>
          </w:tcPr>
          <w:p>
            <w:pPr>
              <w:spacing w:line="240" w:lineRule="auto"/>
            </w:pPr>
            <w:r/>
            <w:r>
              <w:rPr>
                <w:sz w:val="17"/>
              </w:rPr>
              <w:t>C4</w:t>
            </w:r>
          </w:p>
        </w:tc>
        <w:tc>
          <w:tcPr>
            <w:tcW w:type="dxa" w:w="432"/>
          </w:tcPr>
          <w:p>
            <w:pPr>
              <w:spacing w:line="240" w:lineRule="auto"/>
            </w:pPr>
            <w:r/>
            <w:r>
              <w:rPr>
                <w:sz w:val="17"/>
              </w:rPr>
              <w:t>83</w:t>
            </w:r>
          </w:p>
        </w:tc>
        <w:tc>
          <w:tcPr>
            <w:tcW w:type="dxa" w:w="792"/>
          </w:tcPr>
          <w:p>
            <w:pPr>
              <w:spacing w:line="240" w:lineRule="auto"/>
            </w:pPr>
            <w:r/>
            <w:r>
              <w:rPr>
                <w:sz w:val="17"/>
              </w:rPr>
              <w:t>1,824</w:t>
            </w:r>
          </w:p>
        </w:tc>
        <w:tc>
          <w:tcPr>
            <w:tcW w:type="dxa" w:w="7200"/>
          </w:tcPr>
          <w:p>
            <w:pPr>
              <w:spacing w:line="240" w:lineRule="auto"/>
            </w:pPr>
            <w:r/>
            <w:r>
              <w:rPr>
                <w:sz w:val="17"/>
              </w:rPr>
              <w:t>framework, challenges, strategies, stakeholders, ecosystem, implementation</w:t>
            </w:r>
          </w:p>
        </w:tc>
      </w:tr>
      <w:tr>
        <w:tc>
          <w:tcPr>
            <w:tcW w:type="dxa" w:w="648"/>
          </w:tcPr>
          <w:p>
            <w:pPr>
              <w:spacing w:line="240" w:lineRule="auto"/>
            </w:pPr>
            <w:r/>
            <w:r>
              <w:rPr>
                <w:sz w:val="17"/>
              </w:rPr>
              <w:t>C5</w:t>
            </w:r>
          </w:p>
        </w:tc>
        <w:tc>
          <w:tcPr>
            <w:tcW w:type="dxa" w:w="432"/>
          </w:tcPr>
          <w:p>
            <w:pPr>
              <w:spacing w:line="240" w:lineRule="auto"/>
            </w:pPr>
            <w:r/>
            <w:r>
              <w:rPr>
                <w:sz w:val="17"/>
              </w:rPr>
              <w:t>79</w:t>
            </w:r>
          </w:p>
        </w:tc>
        <w:tc>
          <w:tcPr>
            <w:tcW w:type="dxa" w:w="792"/>
          </w:tcPr>
          <w:p>
            <w:pPr>
              <w:spacing w:line="240" w:lineRule="auto"/>
            </w:pPr>
            <w:r/>
            <w:r>
              <w:rPr>
                <w:sz w:val="17"/>
              </w:rPr>
              <w:t>1,755</w:t>
            </w:r>
          </w:p>
        </w:tc>
        <w:tc>
          <w:tcPr>
            <w:tcW w:type="dxa" w:w="7200"/>
          </w:tcPr>
          <w:p>
            <w:pPr>
              <w:spacing w:line="240" w:lineRule="auto"/>
            </w:pPr>
            <w:r/>
            <w:r>
              <w:rPr>
                <w:sz w:val="17"/>
              </w:rPr>
              <w:t>organizations, sport policy, activity, governance, institutional, structural</w:t>
            </w:r>
          </w:p>
        </w:tc>
      </w:tr>
      <w:tr>
        <w:tc>
          <w:tcPr>
            <w:tcW w:type="dxa" w:w="648"/>
          </w:tcPr>
          <w:p>
            <w:pPr>
              <w:spacing w:line="240" w:lineRule="auto"/>
            </w:pPr>
            <w:r/>
            <w:r>
              <w:rPr>
                <w:sz w:val="17"/>
              </w:rPr>
              <w:t>C6</w:t>
            </w:r>
          </w:p>
        </w:tc>
        <w:tc>
          <w:tcPr>
            <w:tcW w:type="dxa" w:w="432"/>
          </w:tcPr>
          <w:p>
            <w:pPr>
              <w:spacing w:line="240" w:lineRule="auto"/>
            </w:pPr>
            <w:r/>
            <w:r>
              <w:rPr>
                <w:sz w:val="17"/>
              </w:rPr>
              <w:t>53</w:t>
            </w:r>
          </w:p>
        </w:tc>
        <w:tc>
          <w:tcPr>
            <w:tcW w:type="dxa" w:w="792"/>
          </w:tcPr>
          <w:p>
            <w:pPr>
              <w:spacing w:line="240" w:lineRule="auto"/>
            </w:pPr>
            <w:r/>
            <w:r>
              <w:rPr>
                <w:sz w:val="17"/>
              </w:rPr>
              <w:t>1,073</w:t>
            </w:r>
          </w:p>
        </w:tc>
        <w:tc>
          <w:tcPr>
            <w:tcW w:type="dxa" w:w="7200"/>
          </w:tcPr>
          <w:p>
            <w:pPr>
              <w:spacing w:line="240" w:lineRule="auto"/>
            </w:pPr>
            <w:r/>
            <w:r>
              <w:rPr>
                <w:sz w:val="17"/>
              </w:rPr>
              <w:t>athletic, experiences, association, transitions, relationships, perceptions</w:t>
            </w:r>
          </w:p>
        </w:tc>
      </w:tr>
      <w:tr>
        <w:tc>
          <w:tcPr>
            <w:tcW w:type="dxa" w:w="648"/>
          </w:tcPr>
          <w:p>
            <w:pPr>
              <w:spacing w:line="240" w:lineRule="auto"/>
            </w:pPr>
            <w:r/>
            <w:r>
              <w:rPr>
                <w:sz w:val="17"/>
              </w:rPr>
              <w:t>C7</w:t>
            </w:r>
          </w:p>
        </w:tc>
        <w:tc>
          <w:tcPr>
            <w:tcW w:type="dxa" w:w="432"/>
          </w:tcPr>
          <w:p>
            <w:pPr>
              <w:spacing w:line="240" w:lineRule="auto"/>
            </w:pPr>
            <w:r/>
            <w:r>
              <w:rPr>
                <w:sz w:val="17"/>
              </w:rPr>
              <w:t>37</w:t>
            </w:r>
          </w:p>
        </w:tc>
        <w:tc>
          <w:tcPr>
            <w:tcW w:type="dxa" w:w="792"/>
          </w:tcPr>
          <w:p>
            <w:pPr>
              <w:spacing w:line="240" w:lineRule="auto"/>
            </w:pPr>
            <w:r/>
            <w:r>
              <w:rPr>
                <w:sz w:val="17"/>
              </w:rPr>
              <w:t>675</w:t>
            </w:r>
          </w:p>
        </w:tc>
        <w:tc>
          <w:tcPr>
            <w:tcW w:type="dxa" w:w="7200"/>
          </w:tcPr>
          <w:p>
            <w:pPr>
              <w:spacing w:line="240" w:lineRule="auto"/>
            </w:pPr>
            <w:r/>
            <w:r>
              <w:rPr>
                <w:sz w:val="17"/>
              </w:rPr>
              <w:t>educational, academic, university, managers, barriers, institutions</w:t>
            </w:r>
          </w:p>
        </w:tc>
      </w:tr>
      <w:tr>
        <w:tc>
          <w:tcPr>
            <w:tcW w:type="dxa" w:w="648"/>
          </w:tcPr>
          <w:p>
            <w:pPr>
              <w:spacing w:line="240" w:lineRule="auto"/>
            </w:pPr>
            <w:r/>
            <w:r>
              <w:rPr>
                <w:sz w:val="17"/>
              </w:rPr>
              <w:t>C8-9</w:t>
            </w:r>
          </w:p>
        </w:tc>
        <w:tc>
          <w:tcPr>
            <w:tcW w:type="dxa" w:w="432"/>
          </w:tcPr>
          <w:p>
            <w:pPr>
              <w:spacing w:line="240" w:lineRule="auto"/>
            </w:pPr>
            <w:r/>
            <w:r>
              <w:rPr>
                <w:sz w:val="17"/>
              </w:rPr>
              <w:t>33</w:t>
            </w:r>
          </w:p>
        </w:tc>
        <w:tc>
          <w:tcPr>
            <w:tcW w:type="dxa" w:w="792"/>
          </w:tcPr>
          <w:p>
            <w:pPr>
              <w:spacing w:line="240" w:lineRule="auto"/>
            </w:pPr>
            <w:r/>
            <w:r>
              <w:rPr>
                <w:sz w:val="17"/>
              </w:rPr>
              <w:t>614</w:t>
            </w:r>
          </w:p>
        </w:tc>
        <w:tc>
          <w:tcPr>
            <w:tcW w:type="dxa" w:w="7200"/>
          </w:tcPr>
          <w:p>
            <w:pPr>
              <w:spacing w:line="240" w:lineRule="auto"/>
            </w:pPr>
            <w:r/>
            <w:r>
              <w:rPr>
                <w:sz w:val="17"/>
              </w:rPr>
              <w:t>organisational conditions; paralympic, disability, crisis, covid</w:t>
            </w:r>
          </w:p>
        </w:tc>
      </w:tr>
    </w:tbl>
    <w:p>
      <w:pPr>
        <w:spacing w:line="240" w:lineRule="auto" w:before="200" w:after="200"/>
      </w:pPr>
      <w:r>
        <w:rPr>
          <w:b/>
          <w:sz w:val="20"/>
        </w:rPr>
        <w:t>Note: C8 and C9 are combined for space; see Appendix E for the full partition.</w:t>
      </w:r>
    </w:p>
    <w:p>
      <w:pPr>
        <w:spacing w:line="480" w:lineRule="auto" w:after="0"/>
        <w:ind w:firstLine="720"/>
        <w:jc w:val="both"/>
      </w:pPr>
      <w:r>
        <w:rPr>
          <w:i w:val="0"/>
          <w:sz w:val="24"/>
        </w:rPr>
        <w:t>The community structure is substantive rather than lexical: three communities map closely onto the field's established divisions - C0 on competition and national systems, C3 on talent and participation, C5 on governance and organisation (Table 5). The remaining communities are more heterogeneous, addressing performance measurement, athlete experience and inclusion, strategy and implementation, transitions, and education. This has a direct implication for how the ecosystem question should be posed: if the field were integrated, we would expect weak community structure and a high boundary-crossing rate, and we observe the opposite on both counts.</w:t>
      </w:r>
    </w:p>
    <w:p>
      <w:pPr>
        <w:spacing w:before="160" w:after="80"/>
        <w:jc w:val="center"/>
      </w:pPr>
      <w:r>
        <w:drawing>
          <wp:inline xmlns:a="http://schemas.openxmlformats.org/drawingml/2006/main" xmlns:pic="http://schemas.openxmlformats.org/drawingml/2006/picture">
            <wp:extent cx="6035040" cy="2404178"/>
            <wp:docPr id="5" name="Picture 5"/>
            <wp:cNvGraphicFramePr>
              <a:graphicFrameLocks noChangeAspect="1"/>
            </wp:cNvGraphicFramePr>
            <a:graphic>
              <a:graphicData uri="http://schemas.openxmlformats.org/drawingml/2006/picture">
                <pic:pic>
                  <pic:nvPicPr>
                    <pic:cNvPr id="0" name="F6_nullmodel.png"/>
                    <pic:cNvPicPr/>
                  </pic:nvPicPr>
                  <pic:blipFill>
                    <a:blip r:embed="rId13"/>
                    <a:stretch>
                      <a:fillRect/>
                    </a:stretch>
                  </pic:blipFill>
                  <pic:spPr>
                    <a:xfrm>
                      <a:off x="0" y="0"/>
                      <a:ext cx="6035040" cy="2404178"/>
                    </a:xfrm>
                    <a:prstGeom prst="rect"/>
                  </pic:spPr>
                </pic:pic>
              </a:graphicData>
            </a:graphic>
          </wp:inline>
        </w:drawing>
      </w:r>
    </w:p>
    <w:p>
      <w:pPr>
        <w:spacing w:line="240" w:lineRule="auto" w:before="200" w:after="200"/>
      </w:pPr>
      <w:r>
        <w:rPr>
          <w:b/>
          <w:sz w:val="20"/>
        </w:rPr>
        <w:t>Figure 5. Null-model validation. (a) Modularity across the Louvain resolution sweep against the configuration-model null band (2 SD); selected resolution marked. (b) Betweenness z-score against degree, showing that large z-scores concentrate at low degree where null variance is small. (c) Distribution of observed betweenness, demonstrating that integrative positions are rare.</w:t>
      </w:r>
    </w:p>
    <w:p>
      <w:pPr>
        <w:spacing w:line="480" w:lineRule="auto" w:before="160" w:after="80"/>
        <w:jc w:val="left"/>
      </w:pPr>
      <w:r>
        <w:rPr>
          <w:b/>
          <w:i/>
          <w:sz w:val="24"/>
        </w:rPr>
        <w:t>4.6 Concept stratification: framing versus intellectual infrastructure</w:t>
      </w:r>
    </w:p>
    <w:p>
      <w:pPr>
        <w:spacing w:line="480" w:lineRule="auto" w:after="0"/>
        <w:ind w:firstLine="720"/>
        <w:jc w:val="both"/>
      </w:pPr>
      <w:r>
        <w:rPr>
          <w:i w:val="0"/>
          <w:sz w:val="24"/>
        </w:rPr>
        <w:t>The layered corpus design yields the study's most practically consequential finding. The median provenance ratio, defined as the share of a concept family's documents in which it appears in the title relative to all documents in which it appears, is 0.083. That is, only 8.3% of concept mentions occur in titles. The remainder are buried in abstracts, where they do the intellectual work but do not signal membership of a research front.</w:t>
      </w:r>
    </w:p>
    <w:p>
      <w:pPr>
        <w:spacing w:line="480" w:lineRule="auto" w:after="0"/>
        <w:ind w:firstLine="720"/>
        <w:jc w:val="both"/>
      </w:pPr>
      <w:r>
        <w:rPr>
          <w:i w:val="0"/>
          <w:sz w:val="24"/>
        </w:rPr>
        <w:t>Layer concordance confirms that this is consequential rather than cosmetic. Spearman correlation of betweenness ranks is 0.713 between the title layer and the author-keyword layer, but only 0.391 between titles and full text, and 0.439 between keywords and full text (Figure 6). Titles and author keywords agree closely with each other, because both are short, self-selected and written for signalling. Neither agrees well with the full text, where the concepts that carry structural weight concentrate.</w:t>
      </w:r>
    </w:p>
    <w:p>
      <w:pPr>
        <w:spacing w:before="160" w:after="80"/>
        <w:jc w:val="center"/>
      </w:pPr>
      <w:r>
        <w:drawing>
          <wp:inline xmlns:a="http://schemas.openxmlformats.org/drawingml/2006/main" xmlns:pic="http://schemas.openxmlformats.org/drawingml/2006/picture">
            <wp:extent cx="6035040" cy="2872404"/>
            <wp:docPr id="6" name="Picture 6"/>
            <wp:cNvGraphicFramePr>
              <a:graphicFrameLocks noChangeAspect="1"/>
            </wp:cNvGraphicFramePr>
            <a:graphic>
              <a:graphicData uri="http://schemas.openxmlformats.org/drawingml/2006/picture">
                <pic:pic>
                  <pic:nvPicPr>
                    <pic:cNvPr id="0" name="F7_layers.png"/>
                    <pic:cNvPicPr/>
                  </pic:nvPicPr>
                  <pic:blipFill>
                    <a:blip r:embed="rId14"/>
                    <a:stretch>
                      <a:fillRect/>
                    </a:stretch>
                  </pic:blipFill>
                  <pic:spPr>
                    <a:xfrm>
                      <a:off x="0" y="0"/>
                      <a:ext cx="6035040" cy="2872404"/>
                    </a:xfrm>
                    <a:prstGeom prst="rect"/>
                  </pic:spPr>
                </pic:pic>
              </a:graphicData>
            </a:graphic>
          </wp:inline>
        </w:drawing>
      </w:r>
    </w:p>
    <w:p>
      <w:pPr>
        <w:spacing w:line="240" w:lineRule="auto" w:before="200" w:after="200"/>
      </w:pPr>
      <w:r>
        <w:rPr>
          <w:b/>
          <w:sz w:val="20"/>
        </w:rPr>
        <w:t>Figure 6. Concept stratification. (a) Title-layer betweenness against full-text betweenness (Spearman rho = 0.39); points below the diagonal are structurally important but unadvertised in titles. (b) Betweenness against provenance ratio, separating buried intellectual infrastructure from framing-driven concepts.</w:t>
      </w:r>
    </w:p>
    <w:p>
      <w:pPr>
        <w:spacing w:line="480" w:lineRule="auto" w:after="0"/>
        <w:ind w:firstLine="720"/>
        <w:jc w:val="both"/>
      </w:pPr>
      <w:r>
        <w:rPr>
          <w:i w:val="0"/>
          <w:sz w:val="24"/>
        </w:rPr>
        <w:t>The two measures together define four quadrants. Structurally important and high-provenance concepts are those the field advertises as its core, including “coaches”, “athlete development” and “participation”. Structurally important and low-provenance concepts are the field’s load-bearing infrastructure: they hold the network together while appearing in few titles. “Framework” is the clearest case, with full-text betweenness of 0.027 against title-layer betweenness an order of magnitude lower, and “ecosystem” behaves similarly. High-provenance, low-structural concepts are framing devices that consume attention without doing structural work.</w:t>
      </w:r>
    </w:p>
    <w:p>
      <w:pPr>
        <w:spacing w:line="480" w:lineRule="auto" w:before="160" w:after="80"/>
        <w:jc w:val="left"/>
      </w:pPr>
      <w:r>
        <w:rPr>
          <w:b/>
          <w:i/>
          <w:sz w:val="24"/>
        </w:rPr>
        <w:t>4.7 Bridging concepts</w:t>
      </w:r>
    </w:p>
    <w:p>
      <w:pPr>
        <w:spacing w:line="480" w:lineRule="auto" w:after="0"/>
        <w:ind w:firstLine="720"/>
        <w:jc w:val="both"/>
      </w:pPr>
      <w:r>
        <w:rPr>
          <w:i w:val="0"/>
          <w:sz w:val="24"/>
        </w:rPr>
        <w:t>Betweenness in the observed network reaches 0.038 against a null mean of 0.0018, a factor of approximately 21. Of 669 nodes, 212 exceed betweenness z of 1.96, 195 exceed 2.58 and 166 exceed 3.29. The ranked bridging concepts are substantive.</w:t>
      </w:r>
    </w:p>
    <w:p>
      <w:pPr>
        <w:spacing w:line="240" w:lineRule="auto" w:before="200" w:after="80"/>
      </w:pPr>
      <w:r>
        <w:rPr>
          <w:b/>
          <w:sz w:val="20"/>
        </w:rPr>
        <w:t>Table 6. Leading bridging concepts with null-calibrated significance.</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2160"/>
            <w:shd w:fill="E8EDF2"/>
          </w:tcPr>
          <w:p>
            <w:pPr>
              <w:spacing w:line="240" w:lineRule="auto"/>
            </w:pPr>
            <w:r/>
            <w:r>
              <w:rPr>
                <w:b/>
                <w:sz w:val="17"/>
              </w:rPr>
              <w:t>Concept</w:t>
            </w:r>
          </w:p>
        </w:tc>
        <w:tc>
          <w:tcPr>
            <w:tcW w:type="dxa" w:w="720"/>
            <w:shd w:fill="E8EDF2"/>
          </w:tcPr>
          <w:p>
            <w:pPr>
              <w:spacing w:line="240" w:lineRule="auto"/>
            </w:pPr>
            <w:r/>
            <w:r>
              <w:rPr>
                <w:b/>
                <w:sz w:val="17"/>
              </w:rPr>
              <w:t>df</w:t>
            </w:r>
          </w:p>
        </w:tc>
        <w:tc>
          <w:tcPr>
            <w:tcW w:type="dxa" w:w="1296"/>
            <w:shd w:fill="E8EDF2"/>
          </w:tcPr>
          <w:p>
            <w:pPr>
              <w:spacing w:line="240" w:lineRule="auto"/>
            </w:pPr>
            <w:r/>
            <w:r>
              <w:rPr>
                <w:b/>
                <w:sz w:val="17"/>
              </w:rPr>
              <w:t>Betweenness</w:t>
            </w:r>
          </w:p>
        </w:tc>
        <w:tc>
          <w:tcPr>
            <w:tcW w:type="dxa" w:w="864"/>
            <w:shd w:fill="E8EDF2"/>
          </w:tcPr>
          <w:p>
            <w:pPr>
              <w:spacing w:line="240" w:lineRule="auto"/>
            </w:pPr>
            <w:r/>
            <w:r>
              <w:rPr>
                <w:b/>
                <w:sz w:val="17"/>
              </w:rPr>
              <w:t>z</w:t>
            </w:r>
          </w:p>
        </w:tc>
        <w:tc>
          <w:tcPr>
            <w:tcW w:type="dxa" w:w="1152"/>
            <w:shd w:fill="E8EDF2"/>
          </w:tcPr>
          <w:p>
            <w:pPr>
              <w:spacing w:line="240" w:lineRule="auto"/>
            </w:pPr>
            <w:r/>
            <w:r>
              <w:rPr>
                <w:b/>
                <w:sz w:val="17"/>
              </w:rPr>
              <w:t>Community</w:t>
            </w:r>
          </w:p>
        </w:tc>
      </w:tr>
      <w:tr>
        <w:tc>
          <w:tcPr>
            <w:tcW w:type="dxa" w:w="2160"/>
          </w:tcPr>
          <w:p>
            <w:pPr>
              <w:spacing w:line="240" w:lineRule="auto"/>
            </w:pPr>
            <w:r/>
            <w:r>
              <w:rPr>
                <w:sz w:val="17"/>
              </w:rPr>
              <w:t>athletic</w:t>
            </w:r>
          </w:p>
        </w:tc>
        <w:tc>
          <w:tcPr>
            <w:tcW w:type="dxa" w:w="720"/>
          </w:tcPr>
          <w:p>
            <w:pPr>
              <w:spacing w:line="240" w:lineRule="auto"/>
            </w:pPr>
            <w:r/>
            <w:r>
              <w:rPr>
                <w:sz w:val="17"/>
              </w:rPr>
              <w:t>76</w:t>
            </w:r>
          </w:p>
        </w:tc>
        <w:tc>
          <w:tcPr>
            <w:tcW w:type="dxa" w:w="1296"/>
          </w:tcPr>
          <w:p>
            <w:pPr>
              <w:spacing w:line="240" w:lineRule="auto"/>
            </w:pPr>
            <w:r/>
            <w:r>
              <w:rPr>
                <w:sz w:val="17"/>
              </w:rPr>
              <w:t>0.0382</w:t>
            </w:r>
          </w:p>
        </w:tc>
        <w:tc>
          <w:tcPr>
            <w:tcW w:type="dxa" w:w="864"/>
          </w:tcPr>
          <w:p>
            <w:pPr>
              <w:spacing w:line="240" w:lineRule="auto"/>
            </w:pPr>
            <w:r/>
            <w:r>
              <w:rPr>
                <w:sz w:val="17"/>
              </w:rPr>
              <w:t>+11.0</w:t>
            </w:r>
          </w:p>
        </w:tc>
        <w:tc>
          <w:tcPr>
            <w:tcW w:type="dxa" w:w="1152"/>
          </w:tcPr>
          <w:p>
            <w:pPr>
              <w:spacing w:line="240" w:lineRule="auto"/>
            </w:pPr>
            <w:r/>
            <w:r>
              <w:rPr>
                <w:sz w:val="17"/>
              </w:rPr>
              <w:t>C6</w:t>
            </w:r>
          </w:p>
        </w:tc>
      </w:tr>
      <w:tr>
        <w:tc>
          <w:tcPr>
            <w:tcW w:type="dxa" w:w="2160"/>
          </w:tcPr>
          <w:p>
            <w:pPr>
              <w:spacing w:line="240" w:lineRule="auto"/>
            </w:pPr>
            <w:r/>
            <w:r>
              <w:rPr>
                <w:sz w:val="17"/>
              </w:rPr>
              <w:t>coaches</w:t>
            </w:r>
          </w:p>
        </w:tc>
        <w:tc>
          <w:tcPr>
            <w:tcW w:type="dxa" w:w="720"/>
          </w:tcPr>
          <w:p>
            <w:pPr>
              <w:spacing w:line="240" w:lineRule="auto"/>
            </w:pPr>
            <w:r/>
            <w:r>
              <w:rPr>
                <w:sz w:val="17"/>
              </w:rPr>
              <w:t>131</w:t>
            </w:r>
          </w:p>
        </w:tc>
        <w:tc>
          <w:tcPr>
            <w:tcW w:type="dxa" w:w="1296"/>
          </w:tcPr>
          <w:p>
            <w:pPr>
              <w:spacing w:line="240" w:lineRule="auto"/>
            </w:pPr>
            <w:r/>
            <w:r>
              <w:rPr>
                <w:sz w:val="17"/>
              </w:rPr>
              <w:t>0.0345</w:t>
            </w:r>
          </w:p>
        </w:tc>
        <w:tc>
          <w:tcPr>
            <w:tcW w:type="dxa" w:w="864"/>
          </w:tcPr>
          <w:p>
            <w:pPr>
              <w:spacing w:line="240" w:lineRule="auto"/>
            </w:pPr>
            <w:r/>
            <w:r>
              <w:rPr>
                <w:sz w:val="17"/>
              </w:rPr>
              <w:t>+35.0</w:t>
            </w:r>
          </w:p>
        </w:tc>
        <w:tc>
          <w:tcPr>
            <w:tcW w:type="dxa" w:w="1152"/>
          </w:tcPr>
          <w:p>
            <w:pPr>
              <w:spacing w:line="240" w:lineRule="auto"/>
            </w:pPr>
            <w:r/>
            <w:r>
              <w:rPr>
                <w:sz w:val="17"/>
              </w:rPr>
              <w:t>C3</w:t>
            </w:r>
          </w:p>
        </w:tc>
      </w:tr>
      <w:tr>
        <w:tc>
          <w:tcPr>
            <w:tcW w:type="dxa" w:w="2160"/>
          </w:tcPr>
          <w:p>
            <w:pPr>
              <w:spacing w:line="240" w:lineRule="auto"/>
            </w:pPr>
            <w:r/>
            <w:r>
              <w:rPr>
                <w:sz w:val="17"/>
              </w:rPr>
              <w:t>countries</w:t>
            </w:r>
          </w:p>
        </w:tc>
        <w:tc>
          <w:tcPr>
            <w:tcW w:type="dxa" w:w="720"/>
          </w:tcPr>
          <w:p>
            <w:pPr>
              <w:spacing w:line="240" w:lineRule="auto"/>
            </w:pPr>
            <w:r/>
            <w:r>
              <w:rPr>
                <w:sz w:val="17"/>
              </w:rPr>
              <w:t>84</w:t>
            </w:r>
          </w:p>
        </w:tc>
        <w:tc>
          <w:tcPr>
            <w:tcW w:type="dxa" w:w="1296"/>
          </w:tcPr>
          <w:p>
            <w:pPr>
              <w:spacing w:line="240" w:lineRule="auto"/>
            </w:pPr>
            <w:r/>
            <w:r>
              <w:rPr>
                <w:sz w:val="17"/>
              </w:rPr>
              <w:t>0.0325</w:t>
            </w:r>
          </w:p>
        </w:tc>
        <w:tc>
          <w:tcPr>
            <w:tcW w:type="dxa" w:w="864"/>
          </w:tcPr>
          <w:p>
            <w:pPr>
              <w:spacing w:line="240" w:lineRule="auto"/>
            </w:pPr>
            <w:r/>
            <w:r>
              <w:rPr>
                <w:sz w:val="17"/>
              </w:rPr>
              <w:t>+7.3</w:t>
            </w:r>
          </w:p>
        </w:tc>
        <w:tc>
          <w:tcPr>
            <w:tcW w:type="dxa" w:w="1152"/>
          </w:tcPr>
          <w:p>
            <w:pPr>
              <w:spacing w:line="240" w:lineRule="auto"/>
            </w:pPr>
            <w:r/>
            <w:r>
              <w:rPr>
                <w:sz w:val="17"/>
              </w:rPr>
              <w:t>C0</w:t>
            </w:r>
          </w:p>
        </w:tc>
      </w:tr>
      <w:tr>
        <w:tc>
          <w:tcPr>
            <w:tcW w:type="dxa" w:w="2160"/>
          </w:tcPr>
          <w:p>
            <w:pPr>
              <w:spacing w:line="240" w:lineRule="auto"/>
            </w:pPr>
            <w:r/>
            <w:r>
              <w:rPr>
                <w:sz w:val="17"/>
              </w:rPr>
              <w:t>participation</w:t>
            </w:r>
          </w:p>
        </w:tc>
        <w:tc>
          <w:tcPr>
            <w:tcW w:type="dxa" w:w="720"/>
          </w:tcPr>
          <w:p>
            <w:pPr>
              <w:spacing w:line="240" w:lineRule="auto"/>
            </w:pPr>
            <w:r/>
            <w:r>
              <w:rPr>
                <w:sz w:val="17"/>
              </w:rPr>
              <w:t>78</w:t>
            </w:r>
          </w:p>
        </w:tc>
        <w:tc>
          <w:tcPr>
            <w:tcW w:type="dxa" w:w="1296"/>
          </w:tcPr>
          <w:p>
            <w:pPr>
              <w:spacing w:line="240" w:lineRule="auto"/>
            </w:pPr>
            <w:r/>
            <w:r>
              <w:rPr>
                <w:sz w:val="17"/>
              </w:rPr>
              <w:t>0.0272</w:t>
            </w:r>
          </w:p>
        </w:tc>
        <w:tc>
          <w:tcPr>
            <w:tcW w:type="dxa" w:w="864"/>
          </w:tcPr>
          <w:p>
            <w:pPr>
              <w:spacing w:line="240" w:lineRule="auto"/>
            </w:pPr>
            <w:r/>
            <w:r>
              <w:rPr>
                <w:sz w:val="17"/>
              </w:rPr>
              <w:t>+8.9</w:t>
            </w:r>
          </w:p>
        </w:tc>
        <w:tc>
          <w:tcPr>
            <w:tcW w:type="dxa" w:w="1152"/>
          </w:tcPr>
          <w:p>
            <w:pPr>
              <w:spacing w:line="240" w:lineRule="auto"/>
            </w:pPr>
            <w:r/>
            <w:r>
              <w:rPr>
                <w:sz w:val="17"/>
              </w:rPr>
              <w:t>C3</w:t>
            </w:r>
          </w:p>
        </w:tc>
      </w:tr>
      <w:tr>
        <w:tc>
          <w:tcPr>
            <w:tcW w:type="dxa" w:w="2160"/>
          </w:tcPr>
          <w:p>
            <w:pPr>
              <w:spacing w:line="240" w:lineRule="auto"/>
            </w:pPr>
            <w:r/>
            <w:r>
              <w:rPr>
                <w:sz w:val="17"/>
              </w:rPr>
              <w:t>framework</w:t>
            </w:r>
          </w:p>
        </w:tc>
        <w:tc>
          <w:tcPr>
            <w:tcW w:type="dxa" w:w="720"/>
          </w:tcPr>
          <w:p>
            <w:pPr>
              <w:spacing w:line="240" w:lineRule="auto"/>
            </w:pPr>
            <w:r/>
            <w:r>
              <w:rPr>
                <w:sz w:val="17"/>
              </w:rPr>
              <w:t>121</w:t>
            </w:r>
          </w:p>
        </w:tc>
        <w:tc>
          <w:tcPr>
            <w:tcW w:type="dxa" w:w="1296"/>
          </w:tcPr>
          <w:p>
            <w:pPr>
              <w:spacing w:line="240" w:lineRule="auto"/>
            </w:pPr>
            <w:r/>
            <w:r>
              <w:rPr>
                <w:sz w:val="17"/>
              </w:rPr>
              <w:t>0.0270</w:t>
            </w:r>
          </w:p>
        </w:tc>
        <w:tc>
          <w:tcPr>
            <w:tcW w:type="dxa" w:w="864"/>
          </w:tcPr>
          <w:p>
            <w:pPr>
              <w:spacing w:line="240" w:lineRule="auto"/>
            </w:pPr>
            <w:r/>
            <w:r>
              <w:rPr>
                <w:sz w:val="17"/>
              </w:rPr>
              <w:t>+17.1</w:t>
            </w:r>
          </w:p>
        </w:tc>
        <w:tc>
          <w:tcPr>
            <w:tcW w:type="dxa" w:w="1152"/>
          </w:tcPr>
          <w:p>
            <w:pPr>
              <w:spacing w:line="240" w:lineRule="auto"/>
            </w:pPr>
            <w:r/>
            <w:r>
              <w:rPr>
                <w:sz w:val="17"/>
              </w:rPr>
              <w:t>C4</w:t>
            </w:r>
          </w:p>
        </w:tc>
      </w:tr>
      <w:tr>
        <w:tc>
          <w:tcPr>
            <w:tcW w:type="dxa" w:w="2160"/>
          </w:tcPr>
          <w:p>
            <w:pPr>
              <w:spacing w:line="240" w:lineRule="auto"/>
            </w:pPr>
            <w:r/>
            <w:r>
              <w:rPr>
                <w:sz w:val="17"/>
              </w:rPr>
              <w:t>ecosystem</w:t>
            </w:r>
          </w:p>
        </w:tc>
        <w:tc>
          <w:tcPr>
            <w:tcW w:type="dxa" w:w="720"/>
          </w:tcPr>
          <w:p>
            <w:pPr>
              <w:spacing w:line="240" w:lineRule="auto"/>
            </w:pPr>
            <w:r/>
            <w:r>
              <w:rPr>
                <w:sz w:val="17"/>
              </w:rPr>
              <w:t>71</w:t>
            </w:r>
          </w:p>
        </w:tc>
        <w:tc>
          <w:tcPr>
            <w:tcW w:type="dxa" w:w="1296"/>
          </w:tcPr>
          <w:p>
            <w:pPr>
              <w:spacing w:line="240" w:lineRule="auto"/>
            </w:pPr>
            <w:r/>
            <w:r>
              <w:rPr>
                <w:sz w:val="17"/>
              </w:rPr>
              <w:t>0.0238</w:t>
            </w:r>
          </w:p>
        </w:tc>
        <w:tc>
          <w:tcPr>
            <w:tcW w:type="dxa" w:w="864"/>
          </w:tcPr>
          <w:p>
            <w:pPr>
              <w:spacing w:line="240" w:lineRule="auto"/>
            </w:pPr>
            <w:r/>
            <w:r>
              <w:rPr>
                <w:sz w:val="17"/>
              </w:rPr>
              <w:t>+16.5</w:t>
            </w:r>
          </w:p>
        </w:tc>
        <w:tc>
          <w:tcPr>
            <w:tcW w:type="dxa" w:w="1152"/>
          </w:tcPr>
          <w:p>
            <w:pPr>
              <w:spacing w:line="240" w:lineRule="auto"/>
            </w:pPr>
            <w:r/>
            <w:r>
              <w:rPr>
                <w:sz w:val="17"/>
              </w:rPr>
              <w:t>C4</w:t>
            </w:r>
          </w:p>
        </w:tc>
      </w:tr>
      <w:tr>
        <w:tc>
          <w:tcPr>
            <w:tcW w:type="dxa" w:w="2160"/>
          </w:tcPr>
          <w:p>
            <w:pPr>
              <w:spacing w:line="240" w:lineRule="auto"/>
            </w:pPr>
            <w:r/>
            <w:r>
              <w:rPr>
                <w:sz w:val="17"/>
              </w:rPr>
              <w:t>governance</w:t>
            </w:r>
          </w:p>
        </w:tc>
        <w:tc>
          <w:tcPr>
            <w:tcW w:type="dxa" w:w="720"/>
          </w:tcPr>
          <w:p>
            <w:pPr>
              <w:spacing w:line="240" w:lineRule="auto"/>
            </w:pPr>
            <w:r/>
            <w:r>
              <w:rPr>
                <w:sz w:val="17"/>
              </w:rPr>
              <w:t>55</w:t>
            </w:r>
          </w:p>
        </w:tc>
        <w:tc>
          <w:tcPr>
            <w:tcW w:type="dxa" w:w="1296"/>
          </w:tcPr>
          <w:p>
            <w:pPr>
              <w:spacing w:line="240" w:lineRule="auto"/>
            </w:pPr>
            <w:r/>
            <w:r>
              <w:rPr>
                <w:sz w:val="17"/>
              </w:rPr>
              <w:t>0.0231</w:t>
            </w:r>
          </w:p>
        </w:tc>
        <w:tc>
          <w:tcPr>
            <w:tcW w:type="dxa" w:w="864"/>
          </w:tcPr>
          <w:p>
            <w:pPr>
              <w:spacing w:line="240" w:lineRule="auto"/>
            </w:pPr>
            <w:r/>
            <w:r>
              <w:rPr>
                <w:sz w:val="17"/>
              </w:rPr>
              <w:t>+16.3</w:t>
            </w:r>
          </w:p>
        </w:tc>
        <w:tc>
          <w:tcPr>
            <w:tcW w:type="dxa" w:w="1152"/>
          </w:tcPr>
          <w:p>
            <w:pPr>
              <w:spacing w:line="240" w:lineRule="auto"/>
            </w:pPr>
            <w:r/>
            <w:r>
              <w:rPr>
                <w:sz w:val="17"/>
              </w:rPr>
              <w:t>C5</w:t>
            </w:r>
          </w:p>
        </w:tc>
      </w:tr>
      <w:tr>
        <w:tc>
          <w:tcPr>
            <w:tcW w:type="dxa" w:w="2160"/>
          </w:tcPr>
          <w:p>
            <w:pPr>
              <w:spacing w:line="240" w:lineRule="auto"/>
            </w:pPr>
            <w:r/>
            <w:r>
              <w:rPr>
                <w:sz w:val="17"/>
              </w:rPr>
              <w:t>injury</w:t>
            </w:r>
          </w:p>
        </w:tc>
        <w:tc>
          <w:tcPr>
            <w:tcW w:type="dxa" w:w="720"/>
          </w:tcPr>
          <w:p>
            <w:pPr>
              <w:spacing w:line="240" w:lineRule="auto"/>
            </w:pPr>
            <w:r/>
            <w:r>
              <w:rPr>
                <w:sz w:val="17"/>
              </w:rPr>
              <w:t>48</w:t>
            </w:r>
          </w:p>
        </w:tc>
        <w:tc>
          <w:tcPr>
            <w:tcW w:type="dxa" w:w="1296"/>
          </w:tcPr>
          <w:p>
            <w:pPr>
              <w:spacing w:line="240" w:lineRule="auto"/>
            </w:pPr>
            <w:r/>
            <w:r>
              <w:rPr>
                <w:sz w:val="17"/>
              </w:rPr>
              <w:t>0.0228</w:t>
            </w:r>
          </w:p>
        </w:tc>
        <w:tc>
          <w:tcPr>
            <w:tcW w:type="dxa" w:w="864"/>
          </w:tcPr>
          <w:p>
            <w:pPr>
              <w:spacing w:line="240" w:lineRule="auto"/>
            </w:pPr>
            <w:r/>
            <w:r>
              <w:rPr>
                <w:sz w:val="17"/>
              </w:rPr>
              <w:t>+9.9</w:t>
            </w:r>
          </w:p>
        </w:tc>
        <w:tc>
          <w:tcPr>
            <w:tcW w:type="dxa" w:w="1152"/>
          </w:tcPr>
          <w:p>
            <w:pPr>
              <w:spacing w:line="240" w:lineRule="auto"/>
            </w:pPr>
            <w:r/>
            <w:r>
              <w:rPr>
                <w:sz w:val="17"/>
              </w:rPr>
              <w:t>C4</w:t>
            </w:r>
          </w:p>
        </w:tc>
      </w:tr>
      <w:tr>
        <w:tc>
          <w:tcPr>
            <w:tcW w:type="dxa" w:w="2160"/>
          </w:tcPr>
          <w:p>
            <w:pPr>
              <w:spacing w:line="240" w:lineRule="auto"/>
            </w:pPr>
            <w:r/>
            <w:r>
              <w:rPr>
                <w:sz w:val="17"/>
              </w:rPr>
              <w:t>olympic</w:t>
            </w:r>
          </w:p>
        </w:tc>
        <w:tc>
          <w:tcPr>
            <w:tcW w:type="dxa" w:w="720"/>
          </w:tcPr>
          <w:p>
            <w:pPr>
              <w:spacing w:line="240" w:lineRule="auto"/>
            </w:pPr>
            <w:r/>
            <w:r>
              <w:rPr>
                <w:sz w:val="17"/>
              </w:rPr>
              <w:t>143</w:t>
            </w:r>
          </w:p>
        </w:tc>
        <w:tc>
          <w:tcPr>
            <w:tcW w:type="dxa" w:w="1296"/>
          </w:tcPr>
          <w:p>
            <w:pPr>
              <w:spacing w:line="240" w:lineRule="auto"/>
            </w:pPr>
            <w:r/>
            <w:r>
              <w:rPr>
                <w:sz w:val="17"/>
              </w:rPr>
              <w:t>0.0214</w:t>
            </w:r>
          </w:p>
        </w:tc>
        <w:tc>
          <w:tcPr>
            <w:tcW w:type="dxa" w:w="864"/>
          </w:tcPr>
          <w:p>
            <w:pPr>
              <w:spacing w:line="240" w:lineRule="auto"/>
            </w:pPr>
            <w:r/>
            <w:r>
              <w:rPr>
                <w:sz w:val="17"/>
              </w:rPr>
              <w:t>+4.6</w:t>
            </w:r>
          </w:p>
        </w:tc>
        <w:tc>
          <w:tcPr>
            <w:tcW w:type="dxa" w:w="1152"/>
          </w:tcPr>
          <w:p>
            <w:pPr>
              <w:spacing w:line="240" w:lineRule="auto"/>
            </w:pPr>
            <w:r/>
            <w:r>
              <w:rPr>
                <w:sz w:val="17"/>
              </w:rPr>
              <w:t>C0</w:t>
            </w:r>
          </w:p>
        </w:tc>
      </w:tr>
      <w:tr>
        <w:tc>
          <w:tcPr>
            <w:tcW w:type="dxa" w:w="2160"/>
          </w:tcPr>
          <w:p>
            <w:pPr>
              <w:spacing w:line="240" w:lineRule="auto"/>
            </w:pPr>
            <w:r/>
            <w:r>
              <w:rPr>
                <w:sz w:val="17"/>
              </w:rPr>
              <w:t>athlete development</w:t>
            </w:r>
          </w:p>
        </w:tc>
        <w:tc>
          <w:tcPr>
            <w:tcW w:type="dxa" w:w="720"/>
          </w:tcPr>
          <w:p>
            <w:pPr>
              <w:spacing w:line="240" w:lineRule="auto"/>
            </w:pPr>
            <w:r/>
            <w:r>
              <w:rPr>
                <w:sz w:val="17"/>
              </w:rPr>
              <w:t>89</w:t>
            </w:r>
          </w:p>
        </w:tc>
        <w:tc>
          <w:tcPr>
            <w:tcW w:type="dxa" w:w="1296"/>
          </w:tcPr>
          <w:p>
            <w:pPr>
              <w:spacing w:line="240" w:lineRule="auto"/>
            </w:pPr>
            <w:r/>
            <w:r>
              <w:rPr>
                <w:sz w:val="17"/>
              </w:rPr>
              <w:t>0.0211</w:t>
            </w:r>
          </w:p>
        </w:tc>
        <w:tc>
          <w:tcPr>
            <w:tcW w:type="dxa" w:w="864"/>
          </w:tcPr>
          <w:p>
            <w:pPr>
              <w:spacing w:line="240" w:lineRule="auto"/>
            </w:pPr>
            <w:r/>
            <w:r>
              <w:rPr>
                <w:sz w:val="17"/>
              </w:rPr>
              <w:t>+4.0</w:t>
            </w:r>
          </w:p>
        </w:tc>
        <w:tc>
          <w:tcPr>
            <w:tcW w:type="dxa" w:w="1152"/>
          </w:tcPr>
          <w:p>
            <w:pPr>
              <w:spacing w:line="240" w:lineRule="auto"/>
            </w:pPr>
            <w:r/>
            <w:r>
              <w:rPr>
                <w:sz w:val="17"/>
              </w:rPr>
              <w:t>C3</w:t>
            </w:r>
          </w:p>
        </w:tc>
      </w:tr>
      <w:tr>
        <w:tc>
          <w:tcPr>
            <w:tcW w:type="dxa" w:w="2160"/>
          </w:tcPr>
          <w:p>
            <w:pPr>
              <w:spacing w:line="240" w:lineRule="auto"/>
            </w:pPr>
            <w:r/>
            <w:r>
              <w:rPr>
                <w:sz w:val="17"/>
              </w:rPr>
              <w:t>structural</w:t>
            </w:r>
          </w:p>
        </w:tc>
        <w:tc>
          <w:tcPr>
            <w:tcW w:type="dxa" w:w="720"/>
          </w:tcPr>
          <w:p>
            <w:pPr>
              <w:spacing w:line="240" w:lineRule="auto"/>
            </w:pPr>
            <w:r/>
            <w:r>
              <w:rPr>
                <w:sz w:val="17"/>
              </w:rPr>
              <w:t>45</w:t>
            </w:r>
          </w:p>
        </w:tc>
        <w:tc>
          <w:tcPr>
            <w:tcW w:type="dxa" w:w="1296"/>
          </w:tcPr>
          <w:p>
            <w:pPr>
              <w:spacing w:line="240" w:lineRule="auto"/>
            </w:pPr>
            <w:r/>
            <w:r>
              <w:rPr>
                <w:sz w:val="17"/>
              </w:rPr>
              <w:t>0.0204</w:t>
            </w:r>
          </w:p>
        </w:tc>
        <w:tc>
          <w:tcPr>
            <w:tcW w:type="dxa" w:w="864"/>
          </w:tcPr>
          <w:p>
            <w:pPr>
              <w:spacing w:line="240" w:lineRule="auto"/>
            </w:pPr>
            <w:r/>
            <w:r>
              <w:rPr>
                <w:sz w:val="17"/>
              </w:rPr>
              <w:t>+5.5</w:t>
            </w:r>
          </w:p>
        </w:tc>
        <w:tc>
          <w:tcPr>
            <w:tcW w:type="dxa" w:w="1152"/>
          </w:tcPr>
          <w:p>
            <w:pPr>
              <w:spacing w:line="240" w:lineRule="auto"/>
            </w:pPr>
            <w:r/>
            <w:r>
              <w:rPr>
                <w:sz w:val="17"/>
              </w:rPr>
              <w:t>C5</w:t>
            </w:r>
          </w:p>
        </w:tc>
      </w:tr>
      <w:tr>
        <w:tc>
          <w:tcPr>
            <w:tcW w:type="dxa" w:w="2160"/>
          </w:tcPr>
          <w:p>
            <w:pPr>
              <w:spacing w:line="240" w:lineRule="auto"/>
            </w:pPr>
            <w:r/>
            <w:r>
              <w:rPr>
                <w:sz w:val="17"/>
              </w:rPr>
              <w:t>challenges</w:t>
            </w:r>
          </w:p>
        </w:tc>
        <w:tc>
          <w:tcPr>
            <w:tcW w:type="dxa" w:w="720"/>
          </w:tcPr>
          <w:p>
            <w:pPr>
              <w:spacing w:line="240" w:lineRule="auto"/>
            </w:pPr>
            <w:r/>
            <w:r>
              <w:rPr>
                <w:sz w:val="17"/>
              </w:rPr>
              <w:t>100</w:t>
            </w:r>
          </w:p>
        </w:tc>
        <w:tc>
          <w:tcPr>
            <w:tcW w:type="dxa" w:w="1296"/>
          </w:tcPr>
          <w:p>
            <w:pPr>
              <w:spacing w:line="240" w:lineRule="auto"/>
            </w:pPr>
            <w:r/>
            <w:r>
              <w:rPr>
                <w:sz w:val="17"/>
              </w:rPr>
              <w:t>0.0203</w:t>
            </w:r>
          </w:p>
        </w:tc>
        <w:tc>
          <w:tcPr>
            <w:tcW w:type="dxa" w:w="864"/>
          </w:tcPr>
          <w:p>
            <w:pPr>
              <w:spacing w:line="240" w:lineRule="auto"/>
            </w:pPr>
            <w:r/>
            <w:r>
              <w:rPr>
                <w:sz w:val="17"/>
              </w:rPr>
              <w:t>+2.7</w:t>
            </w:r>
          </w:p>
        </w:tc>
        <w:tc>
          <w:tcPr>
            <w:tcW w:type="dxa" w:w="1152"/>
          </w:tcPr>
          <w:p>
            <w:pPr>
              <w:spacing w:line="240" w:lineRule="auto"/>
            </w:pPr>
            <w:r/>
            <w:r>
              <w:rPr>
                <w:sz w:val="17"/>
              </w:rPr>
              <w:t>C4</w:t>
            </w:r>
          </w:p>
        </w:tc>
      </w:tr>
      <w:tr>
        <w:tc>
          <w:tcPr>
            <w:tcW w:type="dxa" w:w="2160"/>
          </w:tcPr>
          <w:p>
            <w:pPr>
              <w:spacing w:line="240" w:lineRule="auto"/>
            </w:pPr>
            <w:r/>
            <w:r>
              <w:rPr>
                <w:sz w:val="17"/>
              </w:rPr>
              <w:t>strategies</w:t>
            </w:r>
          </w:p>
        </w:tc>
        <w:tc>
          <w:tcPr>
            <w:tcW w:type="dxa" w:w="720"/>
          </w:tcPr>
          <w:p>
            <w:pPr>
              <w:spacing w:line="240" w:lineRule="auto"/>
            </w:pPr>
            <w:r/>
            <w:r>
              <w:rPr>
                <w:sz w:val="17"/>
              </w:rPr>
              <w:t>99</w:t>
            </w:r>
          </w:p>
        </w:tc>
        <w:tc>
          <w:tcPr>
            <w:tcW w:type="dxa" w:w="1296"/>
          </w:tcPr>
          <w:p>
            <w:pPr>
              <w:spacing w:line="240" w:lineRule="auto"/>
            </w:pPr>
            <w:r/>
            <w:r>
              <w:rPr>
                <w:sz w:val="17"/>
              </w:rPr>
              <w:t>0.0199</w:t>
            </w:r>
          </w:p>
        </w:tc>
        <w:tc>
          <w:tcPr>
            <w:tcW w:type="dxa" w:w="864"/>
          </w:tcPr>
          <w:p>
            <w:pPr>
              <w:spacing w:line="240" w:lineRule="auto"/>
            </w:pPr>
            <w:r/>
            <w:r>
              <w:rPr>
                <w:sz w:val="17"/>
              </w:rPr>
              <w:t>+6.5</w:t>
            </w:r>
          </w:p>
        </w:tc>
        <w:tc>
          <w:tcPr>
            <w:tcW w:type="dxa" w:w="1152"/>
          </w:tcPr>
          <w:p>
            <w:pPr>
              <w:spacing w:line="240" w:lineRule="auto"/>
            </w:pPr>
            <w:r/>
            <w:r>
              <w:rPr>
                <w:sz w:val="17"/>
              </w:rPr>
              <w:t>C4</w:t>
            </w:r>
          </w:p>
        </w:tc>
      </w:tr>
      <w:tr>
        <w:tc>
          <w:tcPr>
            <w:tcW w:type="dxa" w:w="2160"/>
          </w:tcPr>
          <w:p>
            <w:pPr>
              <w:spacing w:line="240" w:lineRule="auto"/>
            </w:pPr>
            <w:r/>
            <w:r>
              <w:rPr>
                <w:sz w:val="17"/>
              </w:rPr>
              <w:t>outcomes</w:t>
            </w:r>
          </w:p>
        </w:tc>
        <w:tc>
          <w:tcPr>
            <w:tcW w:type="dxa" w:w="720"/>
          </w:tcPr>
          <w:p>
            <w:pPr>
              <w:spacing w:line="240" w:lineRule="auto"/>
            </w:pPr>
            <w:r/>
            <w:r>
              <w:rPr>
                <w:sz w:val="17"/>
              </w:rPr>
              <w:t>65</w:t>
            </w:r>
          </w:p>
        </w:tc>
        <w:tc>
          <w:tcPr>
            <w:tcW w:type="dxa" w:w="1296"/>
          </w:tcPr>
          <w:p>
            <w:pPr>
              <w:spacing w:line="240" w:lineRule="auto"/>
            </w:pPr>
            <w:r/>
            <w:r>
              <w:rPr>
                <w:sz w:val="17"/>
              </w:rPr>
              <w:t>0.0197</w:t>
            </w:r>
          </w:p>
        </w:tc>
        <w:tc>
          <w:tcPr>
            <w:tcW w:type="dxa" w:w="864"/>
          </w:tcPr>
          <w:p>
            <w:pPr>
              <w:spacing w:line="240" w:lineRule="auto"/>
            </w:pPr>
            <w:r/>
            <w:r>
              <w:rPr>
                <w:sz w:val="17"/>
              </w:rPr>
              <w:t>+6.2</w:t>
            </w:r>
          </w:p>
        </w:tc>
        <w:tc>
          <w:tcPr>
            <w:tcW w:type="dxa" w:w="1152"/>
          </w:tcPr>
          <w:p>
            <w:pPr>
              <w:spacing w:line="240" w:lineRule="auto"/>
            </w:pPr>
            <w:r/>
            <w:r>
              <w:rPr>
                <w:sz w:val="17"/>
              </w:rPr>
              <w:t>C1</w:t>
            </w:r>
          </w:p>
        </w:tc>
      </w:tr>
      <w:tr>
        <w:tc>
          <w:tcPr>
            <w:tcW w:type="dxa" w:w="2160"/>
          </w:tcPr>
          <w:p>
            <w:pPr>
              <w:spacing w:line="240" w:lineRule="auto"/>
            </w:pPr>
            <w:r/>
            <w:r>
              <w:rPr>
                <w:sz w:val="17"/>
              </w:rPr>
              <w:t>experiences</w:t>
            </w:r>
          </w:p>
        </w:tc>
        <w:tc>
          <w:tcPr>
            <w:tcW w:type="dxa" w:w="720"/>
          </w:tcPr>
          <w:p>
            <w:pPr>
              <w:spacing w:line="240" w:lineRule="auto"/>
            </w:pPr>
            <w:r/>
            <w:r>
              <w:rPr>
                <w:sz w:val="17"/>
              </w:rPr>
              <w:t>67</w:t>
            </w:r>
          </w:p>
        </w:tc>
        <w:tc>
          <w:tcPr>
            <w:tcW w:type="dxa" w:w="1296"/>
          </w:tcPr>
          <w:p>
            <w:pPr>
              <w:spacing w:line="240" w:lineRule="auto"/>
            </w:pPr>
            <w:r/>
            <w:r>
              <w:rPr>
                <w:sz w:val="17"/>
              </w:rPr>
              <w:t>0.0193</w:t>
            </w:r>
          </w:p>
        </w:tc>
        <w:tc>
          <w:tcPr>
            <w:tcW w:type="dxa" w:w="864"/>
          </w:tcPr>
          <w:p>
            <w:pPr>
              <w:spacing w:line="240" w:lineRule="auto"/>
            </w:pPr>
            <w:r/>
            <w:r>
              <w:rPr>
                <w:sz w:val="17"/>
              </w:rPr>
              <w:t>+10.5</w:t>
            </w:r>
          </w:p>
        </w:tc>
        <w:tc>
          <w:tcPr>
            <w:tcW w:type="dxa" w:w="1152"/>
          </w:tcPr>
          <w:p>
            <w:pPr>
              <w:spacing w:line="240" w:lineRule="auto"/>
            </w:pPr>
            <w:r/>
            <w:r>
              <w:rPr>
                <w:sz w:val="17"/>
              </w:rPr>
              <w:t>C6</w:t>
            </w:r>
          </w:p>
        </w:tc>
      </w:tr>
      <w:tr>
        <w:tc>
          <w:tcPr>
            <w:tcW w:type="dxa" w:w="2160"/>
          </w:tcPr>
          <w:p>
            <w:pPr>
              <w:spacing w:line="240" w:lineRule="auto"/>
            </w:pPr>
            <w:r/>
            <w:r>
              <w:rPr>
                <w:sz w:val="17"/>
              </w:rPr>
              <w:t>performance sport</w:t>
            </w:r>
          </w:p>
        </w:tc>
        <w:tc>
          <w:tcPr>
            <w:tcW w:type="dxa" w:w="720"/>
          </w:tcPr>
          <w:p>
            <w:pPr>
              <w:spacing w:line="240" w:lineRule="auto"/>
            </w:pPr>
            <w:r/>
            <w:r>
              <w:rPr>
                <w:sz w:val="17"/>
              </w:rPr>
              <w:t>85</w:t>
            </w:r>
          </w:p>
        </w:tc>
        <w:tc>
          <w:tcPr>
            <w:tcW w:type="dxa" w:w="1296"/>
          </w:tcPr>
          <w:p>
            <w:pPr>
              <w:spacing w:line="240" w:lineRule="auto"/>
            </w:pPr>
            <w:r/>
            <w:r>
              <w:rPr>
                <w:sz w:val="17"/>
              </w:rPr>
              <w:t>0.0180</w:t>
            </w:r>
          </w:p>
        </w:tc>
        <w:tc>
          <w:tcPr>
            <w:tcW w:type="dxa" w:w="864"/>
          </w:tcPr>
          <w:p>
            <w:pPr>
              <w:spacing w:line="240" w:lineRule="auto"/>
            </w:pPr>
            <w:r/>
            <w:r>
              <w:rPr>
                <w:sz w:val="17"/>
              </w:rPr>
              <w:t>+10.8</w:t>
            </w:r>
          </w:p>
        </w:tc>
        <w:tc>
          <w:tcPr>
            <w:tcW w:type="dxa" w:w="1152"/>
          </w:tcPr>
          <w:p>
            <w:pPr>
              <w:spacing w:line="240" w:lineRule="auto"/>
            </w:pPr>
            <w:r/>
            <w:r>
              <w:rPr>
                <w:sz w:val="17"/>
              </w:rPr>
              <w:t>C1</w:t>
            </w:r>
          </w:p>
        </w:tc>
      </w:tr>
      <w:tr>
        <w:tc>
          <w:tcPr>
            <w:tcW w:type="dxa" w:w="2160"/>
          </w:tcPr>
          <w:p>
            <w:pPr>
              <w:spacing w:line="240" w:lineRule="auto"/>
            </w:pPr>
            <w:r/>
            <w:r>
              <w:rPr>
                <w:sz w:val="17"/>
              </w:rPr>
              <w:t>global</w:t>
            </w:r>
          </w:p>
        </w:tc>
        <w:tc>
          <w:tcPr>
            <w:tcW w:type="dxa" w:w="720"/>
          </w:tcPr>
          <w:p>
            <w:pPr>
              <w:spacing w:line="240" w:lineRule="auto"/>
            </w:pPr>
            <w:r/>
            <w:r>
              <w:rPr>
                <w:sz w:val="17"/>
              </w:rPr>
              <w:t>58</w:t>
            </w:r>
          </w:p>
        </w:tc>
        <w:tc>
          <w:tcPr>
            <w:tcW w:type="dxa" w:w="1296"/>
          </w:tcPr>
          <w:p>
            <w:pPr>
              <w:spacing w:line="240" w:lineRule="auto"/>
            </w:pPr>
            <w:r/>
            <w:r>
              <w:rPr>
                <w:sz w:val="17"/>
              </w:rPr>
              <w:t>0.0168</w:t>
            </w:r>
          </w:p>
        </w:tc>
        <w:tc>
          <w:tcPr>
            <w:tcW w:type="dxa" w:w="864"/>
          </w:tcPr>
          <w:p>
            <w:pPr>
              <w:spacing w:line="240" w:lineRule="auto"/>
            </w:pPr>
            <w:r/>
            <w:r>
              <w:rPr>
                <w:sz w:val="17"/>
              </w:rPr>
              <w:t>+16.6</w:t>
            </w:r>
          </w:p>
        </w:tc>
        <w:tc>
          <w:tcPr>
            <w:tcW w:type="dxa" w:w="1152"/>
          </w:tcPr>
          <w:p>
            <w:pPr>
              <w:spacing w:line="240" w:lineRule="auto"/>
            </w:pPr>
            <w:r/>
            <w:r>
              <w:rPr>
                <w:sz w:val="17"/>
              </w:rPr>
              <w:t>C0</w:t>
            </w:r>
          </w:p>
        </w:tc>
      </w:tr>
    </w:tbl>
    <w:p>
      <w:pPr>
        <w:spacing w:line="240" w:lineRule="auto" w:before="200" w:after="200"/>
      </w:pPr>
      <w:r>
        <w:rPr>
          <w:b/>
          <w:sz w:val="20"/>
        </w:rPr>
        <w:t>Note: betweenness computed on the weighted network. Low-degree nodes can attain high z-scores because null variance is small; z indicates unusualness for the degree, betweenness is the effect size.</w:t>
      </w:r>
    </w:p>
    <w:p>
      <w:pPr>
        <w:spacing w:line="480" w:lineRule="auto" w:after="0"/>
        <w:ind w:firstLine="720"/>
        <w:jc w:val="both"/>
      </w:pPr>
      <w:r>
        <w:rPr>
          <w:i w:val="0"/>
          <w:sz w:val="24"/>
        </w:rPr>
        <w:t>A qualification is necessary. The z-score tests unusualness relative to degree, not absolute importance, and for low-degree nodes null variance is small enough that z becomes large mechanically. We therefore rank by observed betweenness and treat z as a significance test; very low-frequency concepts (“directors”, df = 9; “inequities”, df = 9) attain z above 100 on negligible absolute betweenness and are excluded from substantive interpretation.</w:t>
      </w:r>
    </w:p>
    <w:p>
      <w:pPr>
        <w:spacing w:line="480" w:lineRule="auto" w:after="0"/>
        <w:ind w:firstLine="720"/>
        <w:jc w:val="both"/>
      </w:pPr>
      <w:r>
        <w:rPr>
          <w:i w:val="0"/>
          <w:sz w:val="24"/>
        </w:rPr>
        <w:t>The substantive bridges cluster in two groups. The first is organisational and systemic vocabulary connecting the competition community to the governance community: “countries”, “governance”, “structural” and “global”. The second connects the competition community to implementation and strategy: “framework”, “ecosystem”, “strategies”, “challenges” and “implementation”. Notably, “ecosystem” is among the strongest bridges, indicating that the concept does real work in the literature rather than functioning only as rhetoric. Conversely, innovation vocabulary is almost absent from the bridging list.</w:t>
      </w:r>
    </w:p>
    <w:p>
      <w:pPr>
        <w:spacing w:line="480" w:lineRule="auto" w:before="160" w:after="80"/>
        <w:jc w:val="left"/>
      </w:pPr>
      <w:r>
        <w:rPr>
          <w:b/>
          <w:i/>
          <w:sz w:val="24"/>
        </w:rPr>
        <w:t>4.8 Thematic structure</w:t>
      </w:r>
    </w:p>
    <w:p>
      <w:pPr>
        <w:spacing w:line="480" w:lineRule="auto" w:before="160" w:after="80"/>
        <w:jc w:val="left"/>
      </w:pPr>
      <w:r>
        <w:rPr>
          <w:b/>
          <w:i/>
          <w:sz w:val="24"/>
        </w:rPr>
        <w:t>4.8.1 Topic inventory</w:t>
      </w:r>
    </w:p>
    <w:p>
      <w:pPr>
        <w:spacing w:line="480" w:lineRule="auto" w:after="0"/>
        <w:ind w:firstLine="720"/>
        <w:jc w:val="both"/>
      </w:pPr>
      <w:r>
        <w:rPr>
          <w:i w:val="0"/>
          <w:sz w:val="24"/>
        </w:rPr>
        <w:t>The topic model yields eight topics plus a noise cluster covering 16.3% of the windowed corpus (73 of 448 documents), with silhouette 0.484 on the clustered subset and bootstrap co-assignment ARI of 0.751 (SD 0.145, range 0.437-0.882) over twelve replicates. The stability estimate indicates that topic boundaries are reproducible at roughly three-quarters accuracy, which supports qualitative interpretation while arguing against fine-grained boundary claims.</w:t>
      </w:r>
    </w:p>
    <w:p>
      <w:pPr>
        <w:spacing w:line="240" w:lineRule="auto" w:before="200" w:after="80"/>
      </w:pPr>
      <w:r>
        <w:rPr>
          <w:b/>
          <w:sz w:val="20"/>
        </w:rPr>
        <w:t>Table 7. Topic profiles: prevalence, direction and labels. Class-based TF-IDF labels are truncated to four concepts; contrastive labels use log-odds with an informative Dirichlet prior.</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2232"/>
            <w:shd w:fill="E8EDF2"/>
          </w:tcPr>
          <w:p>
            <w:pPr>
              <w:spacing w:line="240" w:lineRule="auto"/>
            </w:pPr>
            <w:r/>
            <w:r>
              <w:rPr>
                <w:b/>
                <w:sz w:val="17"/>
              </w:rPr>
              <w:t>Topic</w:t>
            </w:r>
          </w:p>
        </w:tc>
        <w:tc>
          <w:tcPr>
            <w:tcW w:type="dxa" w:w="504"/>
            <w:shd w:fill="E8EDF2"/>
          </w:tcPr>
          <w:p>
            <w:pPr>
              <w:spacing w:line="240" w:lineRule="auto"/>
            </w:pPr>
            <w:r/>
            <w:r>
              <w:rPr>
                <w:b/>
                <w:sz w:val="17"/>
              </w:rPr>
              <w:t>n</w:t>
            </w:r>
          </w:p>
        </w:tc>
        <w:tc>
          <w:tcPr>
            <w:tcW w:type="dxa" w:w="648"/>
            <w:shd w:fill="E8EDF2"/>
          </w:tcPr>
          <w:p>
            <w:pPr>
              <w:spacing w:line="240" w:lineRule="auto"/>
            </w:pPr>
            <w:r/>
            <w:r>
              <w:rPr>
                <w:b/>
                <w:sz w:val="17"/>
              </w:rPr>
              <w:t>Share</w:t>
            </w:r>
          </w:p>
        </w:tc>
        <w:tc>
          <w:tcPr>
            <w:tcW w:type="dxa" w:w="792"/>
            <w:shd w:fill="E8EDF2"/>
          </w:tcPr>
          <w:p>
            <w:pPr>
              <w:spacing w:line="240" w:lineRule="auto"/>
            </w:pPr>
            <w:r/>
            <w:r>
              <w:rPr>
                <w:b/>
                <w:sz w:val="17"/>
              </w:rPr>
              <w:t>Mean yr</w:t>
            </w:r>
          </w:p>
        </w:tc>
        <w:tc>
          <w:tcPr>
            <w:tcW w:type="dxa" w:w="864"/>
            <w:shd w:fill="E8EDF2"/>
          </w:tcPr>
          <w:p>
            <w:pPr>
              <w:spacing w:line="240" w:lineRule="auto"/>
            </w:pPr>
            <w:r/>
            <w:r>
              <w:rPr>
                <w:b/>
                <w:sz w:val="17"/>
              </w:rPr>
              <w:t>Direction</w:t>
            </w:r>
          </w:p>
        </w:tc>
        <w:tc>
          <w:tcPr>
            <w:tcW w:type="dxa" w:w="3024"/>
            <w:shd w:fill="E8EDF2"/>
          </w:tcPr>
          <w:p>
            <w:pPr>
              <w:spacing w:line="240" w:lineRule="auto"/>
            </w:pPr>
            <w:r/>
            <w:r>
              <w:rPr>
                <w:b/>
                <w:sz w:val="17"/>
              </w:rPr>
              <w:t>c-TF-IDF label</w:t>
            </w:r>
          </w:p>
        </w:tc>
      </w:tr>
      <w:tr>
        <w:tc>
          <w:tcPr>
            <w:tcW w:type="dxa" w:w="2232"/>
          </w:tcPr>
          <w:p>
            <w:pPr>
              <w:spacing w:line="240" w:lineRule="auto"/>
            </w:pPr>
            <w:r/>
            <w:r>
              <w:rPr>
                <w:sz w:val="17"/>
              </w:rPr>
              <w:t>Socio / mental / limitations</w:t>
            </w:r>
          </w:p>
        </w:tc>
        <w:tc>
          <w:tcPr>
            <w:tcW w:type="dxa" w:w="504"/>
          </w:tcPr>
          <w:p>
            <w:pPr>
              <w:spacing w:line="240" w:lineRule="auto"/>
            </w:pPr>
            <w:r/>
            <w:r>
              <w:rPr>
                <w:sz w:val="17"/>
              </w:rPr>
              <w:t>33</w:t>
            </w:r>
          </w:p>
        </w:tc>
        <w:tc>
          <w:tcPr>
            <w:tcW w:type="dxa" w:w="648"/>
          </w:tcPr>
          <w:p>
            <w:pPr>
              <w:spacing w:line="240" w:lineRule="auto"/>
            </w:pPr>
            <w:r/>
            <w:r>
              <w:rPr>
                <w:sz w:val="17"/>
              </w:rPr>
              <w:t>7.4%</w:t>
            </w:r>
          </w:p>
        </w:tc>
        <w:tc>
          <w:tcPr>
            <w:tcW w:type="dxa" w:w="792"/>
          </w:tcPr>
          <w:p>
            <w:pPr>
              <w:spacing w:line="240" w:lineRule="auto"/>
            </w:pPr>
            <w:r/>
            <w:r>
              <w:rPr>
                <w:sz w:val="17"/>
              </w:rPr>
              <w:t>2022.0</w:t>
            </w:r>
          </w:p>
        </w:tc>
        <w:tc>
          <w:tcPr>
            <w:tcW w:type="dxa" w:w="864"/>
          </w:tcPr>
          <w:p>
            <w:pPr>
              <w:spacing w:line="240" w:lineRule="auto"/>
            </w:pPr>
            <w:r/>
            <w:r>
              <w:rPr>
                <w:sz w:val="17"/>
              </w:rPr>
              <w:t>Emerging</w:t>
            </w:r>
          </w:p>
        </w:tc>
        <w:tc>
          <w:tcPr>
            <w:tcW w:type="dxa" w:w="3024"/>
          </w:tcPr>
          <w:p>
            <w:pPr>
              <w:spacing w:line="240" w:lineRule="auto"/>
            </w:pPr>
            <w:r/>
            <w:r>
              <w:rPr>
                <w:sz w:val="17"/>
              </w:rPr>
              <w:t>socio / mental / limitations / achievements</w:t>
            </w:r>
          </w:p>
        </w:tc>
      </w:tr>
      <w:tr>
        <w:tc>
          <w:tcPr>
            <w:tcW w:type="dxa" w:w="2232"/>
          </w:tcPr>
          <w:p>
            <w:pPr>
              <w:spacing w:line="240" w:lineRule="auto"/>
            </w:pPr>
            <w:r/>
            <w:r>
              <w:rPr>
                <w:sz w:val="17"/>
              </w:rPr>
              <w:t>Physical activity / ecosystem</w:t>
            </w:r>
          </w:p>
        </w:tc>
        <w:tc>
          <w:tcPr>
            <w:tcW w:type="dxa" w:w="504"/>
          </w:tcPr>
          <w:p>
            <w:pPr>
              <w:spacing w:line="240" w:lineRule="auto"/>
            </w:pPr>
            <w:r/>
            <w:r>
              <w:rPr>
                <w:sz w:val="17"/>
              </w:rPr>
              <w:t>50</w:t>
            </w:r>
          </w:p>
        </w:tc>
        <w:tc>
          <w:tcPr>
            <w:tcW w:type="dxa" w:w="648"/>
          </w:tcPr>
          <w:p>
            <w:pPr>
              <w:spacing w:line="240" w:lineRule="auto"/>
            </w:pPr>
            <w:r/>
            <w:r>
              <w:rPr>
                <w:sz w:val="17"/>
              </w:rPr>
              <w:t>11.2%</w:t>
            </w:r>
          </w:p>
        </w:tc>
        <w:tc>
          <w:tcPr>
            <w:tcW w:type="dxa" w:w="792"/>
          </w:tcPr>
          <w:p>
            <w:pPr>
              <w:spacing w:line="240" w:lineRule="auto"/>
            </w:pPr>
            <w:r/>
            <w:r>
              <w:rPr>
                <w:sz w:val="17"/>
              </w:rPr>
              <w:t>2021.7</w:t>
            </w:r>
          </w:p>
        </w:tc>
        <w:tc>
          <w:tcPr>
            <w:tcW w:type="dxa" w:w="864"/>
          </w:tcPr>
          <w:p>
            <w:pPr>
              <w:spacing w:line="240" w:lineRule="auto"/>
            </w:pPr>
            <w:r/>
            <w:r>
              <w:rPr>
                <w:sz w:val="17"/>
              </w:rPr>
              <w:t>Emerging</w:t>
            </w:r>
          </w:p>
        </w:tc>
        <w:tc>
          <w:tcPr>
            <w:tcW w:type="dxa" w:w="3024"/>
          </w:tcPr>
          <w:p>
            <w:pPr>
              <w:spacing w:line="240" w:lineRule="auto"/>
            </w:pPr>
            <w:r/>
            <w:r>
              <w:rPr>
                <w:sz w:val="17"/>
              </w:rPr>
              <w:t>physical activity / ecosystem / clusters</w:t>
            </w:r>
          </w:p>
        </w:tc>
      </w:tr>
      <w:tr>
        <w:tc>
          <w:tcPr>
            <w:tcW w:type="dxa" w:w="2232"/>
          </w:tcPr>
          <w:p>
            <w:pPr>
              <w:spacing w:line="240" w:lineRule="auto"/>
            </w:pPr>
            <w:r/>
            <w:r>
              <w:rPr>
                <w:sz w:val="17"/>
              </w:rPr>
              <w:t>Organisational / systematic</w:t>
            </w:r>
          </w:p>
        </w:tc>
        <w:tc>
          <w:tcPr>
            <w:tcW w:type="dxa" w:w="504"/>
          </w:tcPr>
          <w:p>
            <w:pPr>
              <w:spacing w:line="240" w:lineRule="auto"/>
            </w:pPr>
            <w:r/>
            <w:r>
              <w:rPr>
                <w:sz w:val="17"/>
              </w:rPr>
              <w:t>47</w:t>
            </w:r>
          </w:p>
        </w:tc>
        <w:tc>
          <w:tcPr>
            <w:tcW w:type="dxa" w:w="648"/>
          </w:tcPr>
          <w:p>
            <w:pPr>
              <w:spacing w:line="240" w:lineRule="auto"/>
            </w:pPr>
            <w:r/>
            <w:r>
              <w:rPr>
                <w:sz w:val="17"/>
              </w:rPr>
              <w:t>10.5%</w:t>
            </w:r>
          </w:p>
        </w:tc>
        <w:tc>
          <w:tcPr>
            <w:tcW w:type="dxa" w:w="792"/>
          </w:tcPr>
          <w:p>
            <w:pPr>
              <w:spacing w:line="240" w:lineRule="auto"/>
            </w:pPr>
            <w:r/>
            <w:r>
              <w:rPr>
                <w:sz w:val="17"/>
              </w:rPr>
              <w:t>2021.7</w:t>
            </w:r>
          </w:p>
        </w:tc>
        <w:tc>
          <w:tcPr>
            <w:tcW w:type="dxa" w:w="864"/>
          </w:tcPr>
          <w:p>
            <w:pPr>
              <w:spacing w:line="240" w:lineRule="auto"/>
            </w:pPr>
            <w:r/>
            <w:r>
              <w:rPr>
                <w:sz w:val="17"/>
              </w:rPr>
              <w:t>Emerging</w:t>
            </w:r>
          </w:p>
        </w:tc>
        <w:tc>
          <w:tcPr>
            <w:tcW w:type="dxa" w:w="3024"/>
          </w:tcPr>
          <w:p>
            <w:pPr>
              <w:spacing w:line="240" w:lineRule="auto"/>
            </w:pPr>
            <w:r/>
            <w:r>
              <w:rPr>
                <w:sz w:val="17"/>
              </w:rPr>
              <w:t>organizational / systematic / highest / german</w:t>
            </w:r>
          </w:p>
        </w:tc>
      </w:tr>
      <w:tr>
        <w:tc>
          <w:tcPr>
            <w:tcW w:type="dxa" w:w="2232"/>
          </w:tcPr>
          <w:p>
            <w:pPr>
              <w:spacing w:line="240" w:lineRule="auto"/>
            </w:pPr>
            <w:r/>
            <w:r>
              <w:rPr>
                <w:sz w:val="17"/>
              </w:rPr>
              <w:t>Dual / alternative / landscape</w:t>
            </w:r>
          </w:p>
        </w:tc>
        <w:tc>
          <w:tcPr>
            <w:tcW w:type="dxa" w:w="504"/>
          </w:tcPr>
          <w:p>
            <w:pPr>
              <w:spacing w:line="240" w:lineRule="auto"/>
            </w:pPr>
            <w:r/>
            <w:r>
              <w:rPr>
                <w:sz w:val="17"/>
              </w:rPr>
              <w:t>40</w:t>
            </w:r>
          </w:p>
        </w:tc>
        <w:tc>
          <w:tcPr>
            <w:tcW w:type="dxa" w:w="648"/>
          </w:tcPr>
          <w:p>
            <w:pPr>
              <w:spacing w:line="240" w:lineRule="auto"/>
            </w:pPr>
            <w:r/>
            <w:r>
              <w:rPr>
                <w:sz w:val="17"/>
              </w:rPr>
              <w:t>8.9%</w:t>
            </w:r>
          </w:p>
        </w:tc>
        <w:tc>
          <w:tcPr>
            <w:tcW w:type="dxa" w:w="792"/>
          </w:tcPr>
          <w:p>
            <w:pPr>
              <w:spacing w:line="240" w:lineRule="auto"/>
            </w:pPr>
            <w:r/>
            <w:r>
              <w:rPr>
                <w:sz w:val="17"/>
              </w:rPr>
              <w:t>2021.8</w:t>
            </w:r>
          </w:p>
        </w:tc>
        <w:tc>
          <w:tcPr>
            <w:tcW w:type="dxa" w:w="864"/>
          </w:tcPr>
          <w:p>
            <w:pPr>
              <w:spacing w:line="240" w:lineRule="auto"/>
            </w:pPr>
            <w:r/>
            <w:r>
              <w:rPr>
                <w:sz w:val="17"/>
              </w:rPr>
              <w:t>Emerging</w:t>
            </w:r>
          </w:p>
        </w:tc>
        <w:tc>
          <w:tcPr>
            <w:tcW w:type="dxa" w:w="3024"/>
          </w:tcPr>
          <w:p>
            <w:pPr>
              <w:spacing w:line="240" w:lineRule="auto"/>
            </w:pPr>
            <w:r/>
            <w:r>
              <w:rPr>
                <w:sz w:val="17"/>
              </w:rPr>
              <w:t>dual / alternative / landscape / limitations</w:t>
            </w:r>
          </w:p>
        </w:tc>
      </w:tr>
      <w:tr>
        <w:tc>
          <w:tcPr>
            <w:tcW w:type="dxa" w:w="2232"/>
          </w:tcPr>
          <w:p>
            <w:pPr>
              <w:spacing w:line="240" w:lineRule="auto"/>
            </w:pPr>
            <w:r/>
            <w:r>
              <w:rPr>
                <w:sz w:val="17"/>
              </w:rPr>
              <w:t>Capacity / specialisation</w:t>
            </w:r>
          </w:p>
        </w:tc>
        <w:tc>
          <w:tcPr>
            <w:tcW w:type="dxa" w:w="504"/>
          </w:tcPr>
          <w:p>
            <w:pPr>
              <w:spacing w:line="240" w:lineRule="auto"/>
            </w:pPr>
            <w:r/>
            <w:r>
              <w:rPr>
                <w:sz w:val="17"/>
              </w:rPr>
              <w:t>21</w:t>
            </w:r>
          </w:p>
        </w:tc>
        <w:tc>
          <w:tcPr>
            <w:tcW w:type="dxa" w:w="648"/>
          </w:tcPr>
          <w:p>
            <w:pPr>
              <w:spacing w:line="240" w:lineRule="auto"/>
            </w:pPr>
            <w:r/>
            <w:r>
              <w:rPr>
                <w:sz w:val="17"/>
              </w:rPr>
              <w:t>4.7%</w:t>
            </w:r>
          </w:p>
        </w:tc>
        <w:tc>
          <w:tcPr>
            <w:tcW w:type="dxa" w:w="792"/>
          </w:tcPr>
          <w:p>
            <w:pPr>
              <w:spacing w:line="240" w:lineRule="auto"/>
            </w:pPr>
            <w:r/>
            <w:r>
              <w:rPr>
                <w:sz w:val="17"/>
              </w:rPr>
              <w:t>2020.7</w:t>
            </w:r>
          </w:p>
        </w:tc>
        <w:tc>
          <w:tcPr>
            <w:tcW w:type="dxa" w:w="864"/>
          </w:tcPr>
          <w:p>
            <w:pPr>
              <w:spacing w:line="240" w:lineRule="auto"/>
            </w:pPr>
            <w:r/>
            <w:r>
              <w:rPr>
                <w:sz w:val="17"/>
              </w:rPr>
              <w:t>Stable</w:t>
            </w:r>
          </w:p>
        </w:tc>
        <w:tc>
          <w:tcPr>
            <w:tcW w:type="dxa" w:w="3024"/>
          </w:tcPr>
          <w:p>
            <w:pPr>
              <w:spacing w:line="240" w:lineRule="auto"/>
            </w:pPr>
            <w:r/>
            <w:r>
              <w:rPr>
                <w:sz w:val="17"/>
              </w:rPr>
              <w:t>capacity / combination / specialization</w:t>
            </w:r>
          </w:p>
        </w:tc>
      </w:tr>
      <w:tr>
        <w:tc>
          <w:tcPr>
            <w:tcW w:type="dxa" w:w="2232"/>
          </w:tcPr>
          <w:p>
            <w:pPr>
              <w:spacing w:line="240" w:lineRule="auto"/>
            </w:pPr>
            <w:r/>
            <w:r>
              <w:rPr>
                <w:sz w:val="17"/>
              </w:rPr>
              <w:t>Networks / talent / psychology</w:t>
            </w:r>
          </w:p>
        </w:tc>
        <w:tc>
          <w:tcPr>
            <w:tcW w:type="dxa" w:w="504"/>
          </w:tcPr>
          <w:p>
            <w:pPr>
              <w:spacing w:line="240" w:lineRule="auto"/>
            </w:pPr>
            <w:r/>
            <w:r>
              <w:rPr>
                <w:sz w:val="17"/>
              </w:rPr>
              <w:t>29</w:t>
            </w:r>
          </w:p>
        </w:tc>
        <w:tc>
          <w:tcPr>
            <w:tcW w:type="dxa" w:w="648"/>
          </w:tcPr>
          <w:p>
            <w:pPr>
              <w:spacing w:line="240" w:lineRule="auto"/>
            </w:pPr>
            <w:r/>
            <w:r>
              <w:rPr>
                <w:sz w:val="17"/>
              </w:rPr>
              <w:t>6.5%</w:t>
            </w:r>
          </w:p>
        </w:tc>
        <w:tc>
          <w:tcPr>
            <w:tcW w:type="dxa" w:w="792"/>
          </w:tcPr>
          <w:p>
            <w:pPr>
              <w:spacing w:line="240" w:lineRule="auto"/>
            </w:pPr>
            <w:r/>
            <w:r>
              <w:rPr>
                <w:sz w:val="17"/>
              </w:rPr>
              <w:t>2020.8</w:t>
            </w:r>
          </w:p>
        </w:tc>
        <w:tc>
          <w:tcPr>
            <w:tcW w:type="dxa" w:w="864"/>
          </w:tcPr>
          <w:p>
            <w:pPr>
              <w:spacing w:line="240" w:lineRule="auto"/>
            </w:pPr>
            <w:r/>
            <w:r>
              <w:rPr>
                <w:sz w:val="17"/>
              </w:rPr>
              <w:t>Stable</w:t>
            </w:r>
          </w:p>
        </w:tc>
        <w:tc>
          <w:tcPr>
            <w:tcW w:type="dxa" w:w="3024"/>
          </w:tcPr>
          <w:p>
            <w:pPr>
              <w:spacing w:line="240" w:lineRule="auto"/>
            </w:pPr>
            <w:r/>
            <w:r>
              <w:rPr>
                <w:sz w:val="17"/>
              </w:rPr>
              <w:t>networks / talent / germany / psychology</w:t>
            </w:r>
          </w:p>
        </w:tc>
      </w:tr>
      <w:tr>
        <w:tc>
          <w:tcPr>
            <w:tcW w:type="dxa" w:w="2232"/>
          </w:tcPr>
          <w:p>
            <w:pPr>
              <w:spacing w:line="240" w:lineRule="auto"/>
            </w:pPr>
            <w:r/>
            <w:r>
              <w:rPr>
                <w:sz w:val="17"/>
              </w:rPr>
              <w:t>Prevention / primary / gender</w:t>
            </w:r>
          </w:p>
        </w:tc>
        <w:tc>
          <w:tcPr>
            <w:tcW w:type="dxa" w:w="504"/>
          </w:tcPr>
          <w:p>
            <w:pPr>
              <w:spacing w:line="240" w:lineRule="auto"/>
            </w:pPr>
            <w:r/>
            <w:r>
              <w:rPr>
                <w:sz w:val="17"/>
              </w:rPr>
              <w:t>19</w:t>
            </w:r>
          </w:p>
        </w:tc>
        <w:tc>
          <w:tcPr>
            <w:tcW w:type="dxa" w:w="648"/>
          </w:tcPr>
          <w:p>
            <w:pPr>
              <w:spacing w:line="240" w:lineRule="auto"/>
            </w:pPr>
            <w:r/>
            <w:r>
              <w:rPr>
                <w:sz w:val="17"/>
              </w:rPr>
              <w:t>4.2%</w:t>
            </w:r>
          </w:p>
        </w:tc>
        <w:tc>
          <w:tcPr>
            <w:tcW w:type="dxa" w:w="792"/>
          </w:tcPr>
          <w:p>
            <w:pPr>
              <w:spacing w:line="240" w:lineRule="auto"/>
            </w:pPr>
            <w:r/>
            <w:r>
              <w:rPr>
                <w:sz w:val="17"/>
              </w:rPr>
              <w:t>2020.8</w:t>
            </w:r>
          </w:p>
        </w:tc>
        <w:tc>
          <w:tcPr>
            <w:tcW w:type="dxa" w:w="864"/>
          </w:tcPr>
          <w:p>
            <w:pPr>
              <w:spacing w:line="240" w:lineRule="auto"/>
            </w:pPr>
            <w:r/>
            <w:r>
              <w:rPr>
                <w:sz w:val="17"/>
              </w:rPr>
              <w:t>Declining</w:t>
            </w:r>
          </w:p>
        </w:tc>
        <w:tc>
          <w:tcPr>
            <w:tcW w:type="dxa" w:w="3024"/>
          </w:tcPr>
          <w:p>
            <w:pPr>
              <w:spacing w:line="240" w:lineRule="auto"/>
            </w:pPr>
            <w:r/>
            <w:r>
              <w:rPr>
                <w:sz w:val="17"/>
              </w:rPr>
              <w:t>prevention / primary / gender / core</w:t>
            </w:r>
          </w:p>
        </w:tc>
      </w:tr>
      <w:tr>
        <w:tc>
          <w:tcPr>
            <w:tcW w:type="dxa" w:w="2232"/>
          </w:tcPr>
          <w:p>
            <w:pPr>
              <w:spacing w:line="240" w:lineRule="auto"/>
            </w:pPr>
            <w:r/>
            <w:r>
              <w:rPr>
                <w:sz w:val="17"/>
              </w:rPr>
              <w:t>Problems / criteria / governance</w:t>
            </w:r>
          </w:p>
        </w:tc>
        <w:tc>
          <w:tcPr>
            <w:tcW w:type="dxa" w:w="504"/>
          </w:tcPr>
          <w:p>
            <w:pPr>
              <w:spacing w:line="240" w:lineRule="auto"/>
            </w:pPr>
            <w:r/>
            <w:r>
              <w:rPr>
                <w:sz w:val="17"/>
              </w:rPr>
              <w:t>136</w:t>
            </w:r>
          </w:p>
        </w:tc>
        <w:tc>
          <w:tcPr>
            <w:tcW w:type="dxa" w:w="648"/>
          </w:tcPr>
          <w:p>
            <w:pPr>
              <w:spacing w:line="240" w:lineRule="auto"/>
            </w:pPr>
            <w:r/>
            <w:r>
              <w:rPr>
                <w:sz w:val="17"/>
              </w:rPr>
              <w:t>30.4%</w:t>
            </w:r>
          </w:p>
        </w:tc>
        <w:tc>
          <w:tcPr>
            <w:tcW w:type="dxa" w:w="792"/>
          </w:tcPr>
          <w:p>
            <w:pPr>
              <w:spacing w:line="240" w:lineRule="auto"/>
            </w:pPr>
            <w:r/>
            <w:r>
              <w:rPr>
                <w:sz w:val="17"/>
              </w:rPr>
              <w:t>2019.8</w:t>
            </w:r>
          </w:p>
        </w:tc>
        <w:tc>
          <w:tcPr>
            <w:tcW w:type="dxa" w:w="864"/>
          </w:tcPr>
          <w:p>
            <w:pPr>
              <w:spacing w:line="240" w:lineRule="auto"/>
            </w:pPr>
            <w:r/>
            <w:r>
              <w:rPr>
                <w:sz w:val="17"/>
              </w:rPr>
              <w:t>Declining</w:t>
            </w:r>
          </w:p>
        </w:tc>
        <w:tc>
          <w:tcPr>
            <w:tcW w:type="dxa" w:w="3024"/>
          </w:tcPr>
          <w:p>
            <w:pPr>
              <w:spacing w:line="240" w:lineRule="auto"/>
            </w:pPr>
            <w:r/>
            <w:r>
              <w:rPr>
                <w:sz w:val="17"/>
              </w:rPr>
              <w:t>problems / making / criteria / governance</w:t>
            </w:r>
          </w:p>
        </w:tc>
      </w:tr>
      <w:tr>
        <w:tc>
          <w:tcPr>
            <w:tcW w:type="dxa" w:w="2232"/>
          </w:tcPr>
          <w:p>
            <w:pPr>
              <w:spacing w:line="240" w:lineRule="auto"/>
            </w:pPr>
            <w:r/>
            <w:r>
              <w:rPr>
                <w:sz w:val="17"/>
              </w:rPr>
              <w:t>Noise (unclustered)</w:t>
            </w:r>
          </w:p>
        </w:tc>
        <w:tc>
          <w:tcPr>
            <w:tcW w:type="dxa" w:w="504"/>
          </w:tcPr>
          <w:p>
            <w:pPr>
              <w:spacing w:line="240" w:lineRule="auto"/>
            </w:pPr>
            <w:r/>
            <w:r>
              <w:rPr>
                <w:sz w:val="17"/>
              </w:rPr>
              <w:t>73</w:t>
            </w:r>
          </w:p>
        </w:tc>
        <w:tc>
          <w:tcPr>
            <w:tcW w:type="dxa" w:w="648"/>
          </w:tcPr>
          <w:p>
            <w:pPr>
              <w:spacing w:line="240" w:lineRule="auto"/>
            </w:pPr>
            <w:r/>
            <w:r>
              <w:rPr>
                <w:sz w:val="17"/>
              </w:rPr>
              <w:t>16.3%</w:t>
            </w:r>
          </w:p>
        </w:tc>
        <w:tc>
          <w:tcPr>
            <w:tcW w:type="dxa" w:w="792"/>
          </w:tcPr>
          <w:p>
            <w:pPr>
              <w:spacing w:line="240" w:lineRule="auto"/>
            </w:pPr>
            <w:r/>
            <w:r>
              <w:rPr>
                <w:sz w:val="17"/>
              </w:rPr>
              <w:t>2021.1</w:t>
            </w:r>
          </w:p>
        </w:tc>
        <w:tc>
          <w:tcPr>
            <w:tcW w:type="dxa" w:w="864"/>
          </w:tcPr>
          <w:p>
            <w:pPr>
              <w:spacing w:line="240" w:lineRule="auto"/>
            </w:pPr>
            <w:r/>
            <w:r>
              <w:rPr>
                <w:sz w:val="17"/>
              </w:rPr>
              <w:t>-</w:t>
            </w:r>
          </w:p>
        </w:tc>
        <w:tc>
          <w:tcPr>
            <w:tcW w:type="dxa" w:w="3024"/>
          </w:tcPr>
          <w:p>
            <w:pPr>
              <w:spacing w:line="240" w:lineRule="auto"/>
            </w:pPr>
            <w:r/>
            <w:r>
              <w:rPr>
                <w:sz w:val="17"/>
              </w:rPr>
              <w:t>-</w:t>
            </w:r>
          </w:p>
        </w:tc>
      </w:tr>
    </w:tbl>
    <w:p>
      <w:pPr>
        <w:spacing w:line="240" w:lineRule="auto" w:before="200" w:after="200"/>
      </w:pPr>
      <w:r>
        <w:rPr>
          <w:b/>
          <w:sz w:val="20"/>
        </w:rPr>
        <w:t>Note: share of the 448-document windowed corpus. Direction derives from the emergence score in Table 8. Topic assignment is by embedding distance; labels are by term importance.</w:t>
      </w:r>
    </w:p>
    <w:p>
      <w:pPr>
        <w:spacing w:before="160" w:after="80"/>
        <w:jc w:val="center"/>
      </w:pPr>
      <w:r>
        <w:drawing>
          <wp:inline xmlns:a="http://schemas.openxmlformats.org/drawingml/2006/main" xmlns:pic="http://schemas.openxmlformats.org/drawingml/2006/picture">
            <wp:extent cx="6035040" cy="3153384"/>
            <wp:docPr id="7" name="Picture 7"/>
            <wp:cNvGraphicFramePr>
              <a:graphicFrameLocks noChangeAspect="1"/>
            </wp:cNvGraphicFramePr>
            <a:graphic>
              <a:graphicData uri="http://schemas.openxmlformats.org/drawingml/2006/picture">
                <pic:pic>
                  <pic:nvPicPr>
                    <pic:cNvPr id="0" name="F8_topics.png"/>
                    <pic:cNvPicPr/>
                  </pic:nvPicPr>
                  <pic:blipFill>
                    <a:blip r:embed="rId15"/>
                    <a:stretch>
                      <a:fillRect/>
                    </a:stretch>
                  </pic:blipFill>
                  <pic:spPr>
                    <a:xfrm>
                      <a:off x="0" y="0"/>
                      <a:ext cx="6035040" cy="3153384"/>
                    </a:xfrm>
                    <a:prstGeom prst="rect"/>
                  </pic:spPr>
                </pic:pic>
              </a:graphicData>
            </a:graphic>
          </wp:inline>
        </w:drawing>
      </w:r>
    </w:p>
    <w:p>
      <w:pPr>
        <w:spacing w:line="240" w:lineRule="auto" w:before="200" w:after="200"/>
      </w:pPr>
      <w:r>
        <w:rPr>
          <w:b/>
          <w:sz w:val="20"/>
        </w:rPr>
        <w:t>Figure 7. Topic structure. (a) UMAP projection of document embeddings with HDBSCAN partition; unclustered documents shown in grey. (b) Topic prevalence colour-coded by direction, where red denotes emerging and blue declining.</w:t>
      </w:r>
    </w:p>
    <w:p>
      <w:pPr>
        <w:spacing w:line="480" w:lineRule="auto" w:before="160" w:after="80"/>
        <w:jc w:val="left"/>
      </w:pPr>
      <w:r>
        <w:rPr>
          <w:b/>
          <w:i/>
          <w:sz w:val="24"/>
        </w:rPr>
        <w:t>4.8.2 The noise cluster as substantive heterogeneity</w:t>
      </w:r>
    </w:p>
    <w:p>
      <w:pPr>
        <w:spacing w:line="480" w:lineRule="auto" w:after="0"/>
        <w:ind w:firstLine="720"/>
        <w:jc w:val="both"/>
      </w:pPr>
      <w:r>
        <w:rPr>
          <w:i w:val="0"/>
          <w:sz w:val="24"/>
        </w:rPr>
        <w:t>The 16.3% noise share merits comment rather than dismissal. These documents are not errors; HDBSCAN assigns to noise precisely those documents lying in low-density regions of the manifold. In a corpus assembled by a Boolean query spanning governance, innovation and talent development, a noise share approaching one sixth indicates real thematic heterogeneity at the boundary between the query's conceptual blocks - including book chapters on comparative elite sport systems and conference proceedings on sport history and sociology that share vocabulary with none of the eight coherent themes. We report it rather than tuning it away.</w:t>
      </w:r>
    </w:p>
    <w:p>
      <w:pPr>
        <w:spacing w:line="480" w:lineRule="auto" w:before="160" w:after="80"/>
        <w:jc w:val="left"/>
      </w:pPr>
      <w:r>
        <w:rPr>
          <w:b/>
          <w:i/>
          <w:sz w:val="24"/>
        </w:rPr>
        <w:t>4.9 Thematic evolution (RQ2)</w:t>
      </w:r>
    </w:p>
    <w:p>
      <w:pPr>
        <w:spacing w:line="480" w:lineRule="auto" w:after="0"/>
        <w:ind w:firstLine="720"/>
        <w:jc w:val="both"/>
      </w:pPr>
      <w:r>
        <w:rPr>
          <w:i w:val="0"/>
          <w:sz w:val="24"/>
        </w:rPr>
        <w:t>Topic composition differs across periods, but modestly. The topic-by-period contingency table yields chi-square = 47.18 with 24 degrees of freedom, p = .003, Cramér's V = 0.187 (Figure 8). Nine of thirty-six cells have expected frequency below 5, which limits the weight the test can bear and is the reason for reporting effect size rather than significance alone. The effect is real but not large: roughly 19% of the variance in topic membership is associated with period.</w:t>
      </w:r>
    </w:p>
    <w:p>
      <w:pPr>
        <w:spacing w:line="480" w:lineRule="auto" w:after="0"/>
        <w:ind w:firstLine="720"/>
        <w:jc w:val="both"/>
      </w:pPr>
      <w:r>
        <w:rPr>
          <w:i w:val="0"/>
          <w:sz w:val="24"/>
        </w:rPr>
        <w:t>Four topics are emerging and two declining (Tables 7-8). The clearest emerging theme concerns socio-cultural and mental-health themes (emergence +0.148, mean year 2022.0), followed by themes combining physical activity with ecosystem concepts (+0.131), organisational themes with a notable German concentration (+0.114), and dual/alternative pathways (+0.091). The largest topic in absolute terms, at 30.4% of the windowed corpus, is the clearest decliner (-0.153), as is the pandemic-influenced prevention theme (-0.083).</w:t>
      </w:r>
    </w:p>
    <w:p>
      <w:pPr>
        <w:spacing w:line="240" w:lineRule="auto" w:before="200" w:after="80"/>
      </w:pPr>
      <w:r>
        <w:rPr>
          <w:b/>
          <w:sz w:val="20"/>
        </w:rPr>
        <w:t>Table 8. Temporal structure: topic emergence and decline.</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2736"/>
            <w:shd w:fill="E8EDF2"/>
          </w:tcPr>
          <w:p>
            <w:pPr>
              <w:spacing w:line="240" w:lineRule="auto"/>
            </w:pPr>
            <w:r/>
            <w:r>
              <w:rPr>
                <w:b/>
                <w:sz w:val="17"/>
              </w:rPr>
              <w:t>Topic</w:t>
            </w:r>
          </w:p>
        </w:tc>
        <w:tc>
          <w:tcPr>
            <w:tcW w:type="dxa" w:w="504"/>
            <w:shd w:fill="E8EDF2"/>
          </w:tcPr>
          <w:p>
            <w:pPr>
              <w:spacing w:line="240" w:lineRule="auto"/>
            </w:pPr>
            <w:r/>
            <w:r>
              <w:rPr>
                <w:b/>
                <w:sz w:val="17"/>
              </w:rPr>
              <w:t>n</w:t>
            </w:r>
          </w:p>
        </w:tc>
        <w:tc>
          <w:tcPr>
            <w:tcW w:type="dxa" w:w="1008"/>
            <w:shd w:fill="E8EDF2"/>
          </w:tcPr>
          <w:p>
            <w:pPr>
              <w:spacing w:line="240" w:lineRule="auto"/>
            </w:pPr>
            <w:r/>
            <w:r>
              <w:rPr>
                <w:b/>
                <w:sz w:val="17"/>
              </w:rPr>
              <w:t>Mean year</w:t>
            </w:r>
          </w:p>
        </w:tc>
        <w:tc>
          <w:tcPr>
            <w:tcW w:type="dxa" w:w="1296"/>
            <w:shd w:fill="E8EDF2"/>
          </w:tcPr>
          <w:p>
            <w:pPr>
              <w:spacing w:line="240" w:lineRule="auto"/>
            </w:pPr>
            <w:r/>
            <w:r>
              <w:rPr>
                <w:b/>
                <w:sz w:val="17"/>
              </w:rPr>
              <w:t>Share since 2021</w:t>
            </w:r>
          </w:p>
        </w:tc>
        <w:tc>
          <w:tcPr>
            <w:tcW w:type="dxa" w:w="1008"/>
            <w:shd w:fill="E8EDF2"/>
          </w:tcPr>
          <w:p>
            <w:pPr>
              <w:spacing w:line="240" w:lineRule="auto"/>
            </w:pPr>
            <w:r/>
            <w:r>
              <w:rPr>
                <w:b/>
                <w:sz w:val="17"/>
              </w:rPr>
              <w:t>Emergence</w:t>
            </w:r>
          </w:p>
        </w:tc>
        <w:tc>
          <w:tcPr>
            <w:tcW w:type="dxa" w:w="1008"/>
            <w:shd w:fill="E8EDF2"/>
          </w:tcPr>
          <w:p>
            <w:pPr>
              <w:spacing w:line="240" w:lineRule="auto"/>
            </w:pPr>
            <w:r/>
            <w:r>
              <w:rPr>
                <w:b/>
                <w:sz w:val="17"/>
              </w:rPr>
              <w:t>Direction</w:t>
            </w:r>
          </w:p>
        </w:tc>
      </w:tr>
      <w:tr>
        <w:tc>
          <w:tcPr>
            <w:tcW w:type="dxa" w:w="2736"/>
          </w:tcPr>
          <w:p>
            <w:pPr>
              <w:spacing w:line="240" w:lineRule="auto"/>
            </w:pPr>
            <w:r/>
            <w:r>
              <w:rPr>
                <w:sz w:val="17"/>
              </w:rPr>
              <w:t>Socio / mental / limitations</w:t>
            </w:r>
          </w:p>
        </w:tc>
        <w:tc>
          <w:tcPr>
            <w:tcW w:type="dxa" w:w="504"/>
          </w:tcPr>
          <w:p>
            <w:pPr>
              <w:spacing w:line="240" w:lineRule="auto"/>
            </w:pPr>
            <w:r/>
            <w:r>
              <w:rPr>
                <w:sz w:val="17"/>
              </w:rPr>
              <w:t>33</w:t>
            </w:r>
          </w:p>
        </w:tc>
        <w:tc>
          <w:tcPr>
            <w:tcW w:type="dxa" w:w="1008"/>
          </w:tcPr>
          <w:p>
            <w:pPr>
              <w:spacing w:line="240" w:lineRule="auto"/>
            </w:pPr>
            <w:r/>
            <w:r>
              <w:rPr>
                <w:sz w:val="17"/>
              </w:rPr>
              <w:t>2022.0</w:t>
            </w:r>
          </w:p>
        </w:tc>
        <w:tc>
          <w:tcPr>
            <w:tcW w:type="dxa" w:w="1296"/>
          </w:tcPr>
          <w:p>
            <w:pPr>
              <w:spacing w:line="240" w:lineRule="auto"/>
            </w:pPr>
            <w:r/>
            <w:r>
              <w:rPr>
                <w:sz w:val="17"/>
              </w:rPr>
              <w:t>0.76</w:t>
            </w:r>
          </w:p>
        </w:tc>
        <w:tc>
          <w:tcPr>
            <w:tcW w:type="dxa" w:w="1008"/>
          </w:tcPr>
          <w:p>
            <w:pPr>
              <w:spacing w:line="240" w:lineRule="auto"/>
            </w:pPr>
            <w:r/>
            <w:r>
              <w:rPr>
                <w:sz w:val="17"/>
              </w:rPr>
              <w:t>+0.148</w:t>
            </w:r>
          </w:p>
        </w:tc>
        <w:tc>
          <w:tcPr>
            <w:tcW w:type="dxa" w:w="1008"/>
          </w:tcPr>
          <w:p>
            <w:pPr>
              <w:spacing w:line="240" w:lineRule="auto"/>
            </w:pPr>
            <w:r/>
            <w:r>
              <w:rPr>
                <w:sz w:val="17"/>
              </w:rPr>
              <w:t>Emerging</w:t>
            </w:r>
          </w:p>
        </w:tc>
      </w:tr>
      <w:tr>
        <w:tc>
          <w:tcPr>
            <w:tcW w:type="dxa" w:w="2736"/>
          </w:tcPr>
          <w:p>
            <w:pPr>
              <w:spacing w:line="240" w:lineRule="auto"/>
            </w:pPr>
            <w:r/>
            <w:r>
              <w:rPr>
                <w:sz w:val="17"/>
              </w:rPr>
              <w:t>Physical activity / ecosystem</w:t>
            </w:r>
          </w:p>
        </w:tc>
        <w:tc>
          <w:tcPr>
            <w:tcW w:type="dxa" w:w="504"/>
          </w:tcPr>
          <w:p>
            <w:pPr>
              <w:spacing w:line="240" w:lineRule="auto"/>
            </w:pPr>
            <w:r/>
            <w:r>
              <w:rPr>
                <w:sz w:val="17"/>
              </w:rPr>
              <w:t>50</w:t>
            </w:r>
          </w:p>
        </w:tc>
        <w:tc>
          <w:tcPr>
            <w:tcW w:type="dxa" w:w="1008"/>
          </w:tcPr>
          <w:p>
            <w:pPr>
              <w:spacing w:line="240" w:lineRule="auto"/>
            </w:pPr>
            <w:r/>
            <w:r>
              <w:rPr>
                <w:sz w:val="17"/>
              </w:rPr>
              <w:t>2021.7</w:t>
            </w:r>
          </w:p>
        </w:tc>
        <w:tc>
          <w:tcPr>
            <w:tcW w:type="dxa" w:w="1296"/>
          </w:tcPr>
          <w:p>
            <w:pPr>
              <w:spacing w:line="240" w:lineRule="auto"/>
            </w:pPr>
            <w:r/>
            <w:r>
              <w:rPr>
                <w:sz w:val="17"/>
              </w:rPr>
              <w:t>0.74</w:t>
            </w:r>
          </w:p>
        </w:tc>
        <w:tc>
          <w:tcPr>
            <w:tcW w:type="dxa" w:w="1008"/>
          </w:tcPr>
          <w:p>
            <w:pPr>
              <w:spacing w:line="240" w:lineRule="auto"/>
            </w:pPr>
            <w:r/>
            <w:r>
              <w:rPr>
                <w:sz w:val="17"/>
              </w:rPr>
              <w:t>+0.131</w:t>
            </w:r>
          </w:p>
        </w:tc>
        <w:tc>
          <w:tcPr>
            <w:tcW w:type="dxa" w:w="1008"/>
          </w:tcPr>
          <w:p>
            <w:pPr>
              <w:spacing w:line="240" w:lineRule="auto"/>
            </w:pPr>
            <w:r/>
            <w:r>
              <w:rPr>
                <w:sz w:val="17"/>
              </w:rPr>
              <w:t>Emerging</w:t>
            </w:r>
          </w:p>
        </w:tc>
      </w:tr>
      <w:tr>
        <w:tc>
          <w:tcPr>
            <w:tcW w:type="dxa" w:w="2736"/>
          </w:tcPr>
          <w:p>
            <w:pPr>
              <w:spacing w:line="240" w:lineRule="auto"/>
            </w:pPr>
            <w:r/>
            <w:r>
              <w:rPr>
                <w:sz w:val="17"/>
              </w:rPr>
              <w:t>Organizational / systematic</w:t>
            </w:r>
          </w:p>
        </w:tc>
        <w:tc>
          <w:tcPr>
            <w:tcW w:type="dxa" w:w="504"/>
          </w:tcPr>
          <w:p>
            <w:pPr>
              <w:spacing w:line="240" w:lineRule="auto"/>
            </w:pPr>
            <w:r/>
            <w:r>
              <w:rPr>
                <w:sz w:val="17"/>
              </w:rPr>
              <w:t>47</w:t>
            </w:r>
          </w:p>
        </w:tc>
        <w:tc>
          <w:tcPr>
            <w:tcW w:type="dxa" w:w="1008"/>
          </w:tcPr>
          <w:p>
            <w:pPr>
              <w:spacing w:line="240" w:lineRule="auto"/>
            </w:pPr>
            <w:r/>
            <w:r>
              <w:rPr>
                <w:sz w:val="17"/>
              </w:rPr>
              <w:t>2021.7</w:t>
            </w:r>
          </w:p>
        </w:tc>
        <w:tc>
          <w:tcPr>
            <w:tcW w:type="dxa" w:w="1296"/>
          </w:tcPr>
          <w:p>
            <w:pPr>
              <w:spacing w:line="240" w:lineRule="auto"/>
            </w:pPr>
            <w:r/>
            <w:r>
              <w:rPr>
                <w:sz w:val="17"/>
              </w:rPr>
              <w:t>0.72</w:t>
            </w:r>
          </w:p>
        </w:tc>
        <w:tc>
          <w:tcPr>
            <w:tcW w:type="dxa" w:w="1008"/>
          </w:tcPr>
          <w:p>
            <w:pPr>
              <w:spacing w:line="240" w:lineRule="auto"/>
            </w:pPr>
            <w:r/>
            <w:r>
              <w:rPr>
                <w:sz w:val="17"/>
              </w:rPr>
              <w:t>+0.114</w:t>
            </w:r>
          </w:p>
        </w:tc>
        <w:tc>
          <w:tcPr>
            <w:tcW w:type="dxa" w:w="1008"/>
          </w:tcPr>
          <w:p>
            <w:pPr>
              <w:spacing w:line="240" w:lineRule="auto"/>
            </w:pPr>
            <w:r/>
            <w:r>
              <w:rPr>
                <w:sz w:val="17"/>
              </w:rPr>
              <w:t>Emerging</w:t>
            </w:r>
          </w:p>
        </w:tc>
      </w:tr>
      <w:tr>
        <w:tc>
          <w:tcPr>
            <w:tcW w:type="dxa" w:w="2736"/>
          </w:tcPr>
          <w:p>
            <w:pPr>
              <w:spacing w:line="240" w:lineRule="auto"/>
            </w:pPr>
            <w:r/>
            <w:r>
              <w:rPr>
                <w:sz w:val="17"/>
              </w:rPr>
              <w:t>Dual / alternative / landscape</w:t>
            </w:r>
          </w:p>
        </w:tc>
        <w:tc>
          <w:tcPr>
            <w:tcW w:type="dxa" w:w="504"/>
          </w:tcPr>
          <w:p>
            <w:pPr>
              <w:spacing w:line="240" w:lineRule="auto"/>
            </w:pPr>
            <w:r/>
            <w:r>
              <w:rPr>
                <w:sz w:val="17"/>
              </w:rPr>
              <w:t>40</w:t>
            </w:r>
          </w:p>
        </w:tc>
        <w:tc>
          <w:tcPr>
            <w:tcW w:type="dxa" w:w="1008"/>
          </w:tcPr>
          <w:p>
            <w:pPr>
              <w:spacing w:line="240" w:lineRule="auto"/>
            </w:pPr>
            <w:r/>
            <w:r>
              <w:rPr>
                <w:sz w:val="17"/>
              </w:rPr>
              <w:t>2021.8</w:t>
            </w:r>
          </w:p>
        </w:tc>
        <w:tc>
          <w:tcPr>
            <w:tcW w:type="dxa" w:w="1296"/>
          </w:tcPr>
          <w:p>
            <w:pPr>
              <w:spacing w:line="240" w:lineRule="auto"/>
            </w:pPr>
            <w:r/>
            <w:r>
              <w:rPr>
                <w:sz w:val="17"/>
              </w:rPr>
              <w:t>0.70</w:t>
            </w:r>
          </w:p>
        </w:tc>
        <w:tc>
          <w:tcPr>
            <w:tcW w:type="dxa" w:w="1008"/>
          </w:tcPr>
          <w:p>
            <w:pPr>
              <w:spacing w:line="240" w:lineRule="auto"/>
            </w:pPr>
            <w:r/>
            <w:r>
              <w:rPr>
                <w:sz w:val="17"/>
              </w:rPr>
              <w:t>+0.091</w:t>
            </w:r>
          </w:p>
        </w:tc>
        <w:tc>
          <w:tcPr>
            <w:tcW w:type="dxa" w:w="1008"/>
          </w:tcPr>
          <w:p>
            <w:pPr>
              <w:spacing w:line="240" w:lineRule="auto"/>
            </w:pPr>
            <w:r/>
            <w:r>
              <w:rPr>
                <w:sz w:val="17"/>
              </w:rPr>
              <w:t>Emerging</w:t>
            </w:r>
          </w:p>
        </w:tc>
      </w:tr>
      <w:tr>
        <w:tc>
          <w:tcPr>
            <w:tcW w:type="dxa" w:w="2736"/>
          </w:tcPr>
          <w:p>
            <w:pPr>
              <w:spacing w:line="240" w:lineRule="auto"/>
            </w:pPr>
            <w:r/>
            <w:r>
              <w:rPr>
                <w:sz w:val="17"/>
              </w:rPr>
              <w:t>Capacity / specialization</w:t>
            </w:r>
          </w:p>
        </w:tc>
        <w:tc>
          <w:tcPr>
            <w:tcW w:type="dxa" w:w="504"/>
          </w:tcPr>
          <w:p>
            <w:pPr>
              <w:spacing w:line="240" w:lineRule="auto"/>
            </w:pPr>
            <w:r/>
            <w:r>
              <w:rPr>
                <w:sz w:val="17"/>
              </w:rPr>
              <w:t>21</w:t>
            </w:r>
          </w:p>
        </w:tc>
        <w:tc>
          <w:tcPr>
            <w:tcW w:type="dxa" w:w="1008"/>
          </w:tcPr>
          <w:p>
            <w:pPr>
              <w:spacing w:line="240" w:lineRule="auto"/>
            </w:pPr>
            <w:r/>
            <w:r>
              <w:rPr>
                <w:sz w:val="17"/>
              </w:rPr>
              <w:t>2020.7</w:t>
            </w:r>
          </w:p>
        </w:tc>
        <w:tc>
          <w:tcPr>
            <w:tcW w:type="dxa" w:w="1296"/>
          </w:tcPr>
          <w:p>
            <w:pPr>
              <w:spacing w:line="240" w:lineRule="auto"/>
            </w:pPr>
            <w:r/>
            <w:r>
              <w:rPr>
                <w:sz w:val="17"/>
              </w:rPr>
              <w:t>0.67</w:t>
            </w:r>
          </w:p>
        </w:tc>
        <w:tc>
          <w:tcPr>
            <w:tcW w:type="dxa" w:w="1008"/>
          </w:tcPr>
          <w:p>
            <w:pPr>
              <w:spacing w:line="240" w:lineRule="auto"/>
            </w:pPr>
            <w:r/>
            <w:r>
              <w:rPr>
                <w:sz w:val="17"/>
              </w:rPr>
              <w:t>+0.057</w:t>
            </w:r>
          </w:p>
        </w:tc>
        <w:tc>
          <w:tcPr>
            <w:tcW w:type="dxa" w:w="1008"/>
          </w:tcPr>
          <w:p>
            <w:pPr>
              <w:spacing w:line="240" w:lineRule="auto"/>
            </w:pPr>
            <w:r/>
            <w:r>
              <w:rPr>
                <w:sz w:val="17"/>
              </w:rPr>
              <w:t>Stable</w:t>
            </w:r>
          </w:p>
        </w:tc>
      </w:tr>
      <w:tr>
        <w:tc>
          <w:tcPr>
            <w:tcW w:type="dxa" w:w="2736"/>
          </w:tcPr>
          <w:p>
            <w:pPr>
              <w:spacing w:line="240" w:lineRule="auto"/>
            </w:pPr>
            <w:r/>
            <w:r>
              <w:rPr>
                <w:sz w:val="17"/>
              </w:rPr>
              <w:t>Networks / talent / psychology</w:t>
            </w:r>
          </w:p>
        </w:tc>
        <w:tc>
          <w:tcPr>
            <w:tcW w:type="dxa" w:w="504"/>
          </w:tcPr>
          <w:p>
            <w:pPr>
              <w:spacing w:line="240" w:lineRule="auto"/>
            </w:pPr>
            <w:r/>
            <w:r>
              <w:rPr>
                <w:sz w:val="17"/>
              </w:rPr>
              <w:t>29</w:t>
            </w:r>
          </w:p>
        </w:tc>
        <w:tc>
          <w:tcPr>
            <w:tcW w:type="dxa" w:w="1008"/>
          </w:tcPr>
          <w:p>
            <w:pPr>
              <w:spacing w:line="240" w:lineRule="auto"/>
            </w:pPr>
            <w:r/>
            <w:r>
              <w:rPr>
                <w:sz w:val="17"/>
              </w:rPr>
              <w:t>2020.8</w:t>
            </w:r>
          </w:p>
        </w:tc>
        <w:tc>
          <w:tcPr>
            <w:tcW w:type="dxa" w:w="1296"/>
          </w:tcPr>
          <w:p>
            <w:pPr>
              <w:spacing w:line="240" w:lineRule="auto"/>
            </w:pPr>
            <w:r/>
            <w:r>
              <w:rPr>
                <w:sz w:val="17"/>
              </w:rPr>
              <w:t>0.66</w:t>
            </w:r>
          </w:p>
        </w:tc>
        <w:tc>
          <w:tcPr>
            <w:tcW w:type="dxa" w:w="1008"/>
          </w:tcPr>
          <w:p>
            <w:pPr>
              <w:spacing w:line="240" w:lineRule="auto"/>
            </w:pPr>
            <w:r/>
            <w:r>
              <w:rPr>
                <w:sz w:val="17"/>
              </w:rPr>
              <w:t>+0.046</w:t>
            </w:r>
          </w:p>
        </w:tc>
        <w:tc>
          <w:tcPr>
            <w:tcW w:type="dxa" w:w="1008"/>
          </w:tcPr>
          <w:p>
            <w:pPr>
              <w:spacing w:line="240" w:lineRule="auto"/>
            </w:pPr>
            <w:r/>
            <w:r>
              <w:rPr>
                <w:sz w:val="17"/>
              </w:rPr>
              <w:t>Stable</w:t>
            </w:r>
          </w:p>
        </w:tc>
      </w:tr>
      <w:tr>
        <w:tc>
          <w:tcPr>
            <w:tcW w:type="dxa" w:w="2736"/>
          </w:tcPr>
          <w:p>
            <w:pPr>
              <w:spacing w:line="240" w:lineRule="auto"/>
            </w:pPr>
            <w:r/>
            <w:r>
              <w:rPr>
                <w:sz w:val="17"/>
              </w:rPr>
              <w:t>Noise</w:t>
            </w:r>
          </w:p>
        </w:tc>
        <w:tc>
          <w:tcPr>
            <w:tcW w:type="dxa" w:w="504"/>
          </w:tcPr>
          <w:p>
            <w:pPr>
              <w:spacing w:line="240" w:lineRule="auto"/>
            </w:pPr>
            <w:r/>
            <w:r>
              <w:rPr>
                <w:sz w:val="17"/>
              </w:rPr>
              <w:t>73</w:t>
            </w:r>
          </w:p>
        </w:tc>
        <w:tc>
          <w:tcPr>
            <w:tcW w:type="dxa" w:w="1008"/>
          </w:tcPr>
          <w:p>
            <w:pPr>
              <w:spacing w:line="240" w:lineRule="auto"/>
            </w:pPr>
            <w:r/>
            <w:r>
              <w:rPr>
                <w:sz w:val="17"/>
              </w:rPr>
              <w:t>2021.1</w:t>
            </w:r>
          </w:p>
        </w:tc>
        <w:tc>
          <w:tcPr>
            <w:tcW w:type="dxa" w:w="1296"/>
          </w:tcPr>
          <w:p>
            <w:pPr>
              <w:spacing w:line="240" w:lineRule="auto"/>
            </w:pPr>
            <w:r/>
            <w:r>
              <w:rPr>
                <w:sz w:val="17"/>
              </w:rPr>
              <w:t>0.60</w:t>
            </w:r>
          </w:p>
        </w:tc>
        <w:tc>
          <w:tcPr>
            <w:tcW w:type="dxa" w:w="1008"/>
          </w:tcPr>
          <w:p>
            <w:pPr>
              <w:spacing w:line="240" w:lineRule="auto"/>
            </w:pPr>
            <w:r/>
            <w:r>
              <w:rPr>
                <w:sz w:val="17"/>
              </w:rPr>
              <w:t>-0.007</w:t>
            </w:r>
          </w:p>
        </w:tc>
        <w:tc>
          <w:tcPr>
            <w:tcW w:type="dxa" w:w="1008"/>
          </w:tcPr>
          <w:p>
            <w:pPr>
              <w:spacing w:line="240" w:lineRule="auto"/>
            </w:pPr>
            <w:r/>
            <w:r>
              <w:rPr>
                <w:sz w:val="17"/>
              </w:rPr>
              <w:t>Stable</w:t>
            </w:r>
          </w:p>
        </w:tc>
      </w:tr>
      <w:tr>
        <w:tc>
          <w:tcPr>
            <w:tcW w:type="dxa" w:w="2736"/>
          </w:tcPr>
          <w:p>
            <w:pPr>
              <w:spacing w:line="240" w:lineRule="auto"/>
            </w:pPr>
            <w:r/>
            <w:r>
              <w:rPr>
                <w:sz w:val="17"/>
              </w:rPr>
              <w:t>Covid / committee / psychology</w:t>
            </w:r>
          </w:p>
        </w:tc>
        <w:tc>
          <w:tcPr>
            <w:tcW w:type="dxa" w:w="504"/>
          </w:tcPr>
          <w:p>
            <w:pPr>
              <w:spacing w:line="240" w:lineRule="auto"/>
            </w:pPr>
            <w:r/>
            <w:r>
              <w:rPr>
                <w:sz w:val="17"/>
              </w:rPr>
              <w:t>19</w:t>
            </w:r>
          </w:p>
        </w:tc>
        <w:tc>
          <w:tcPr>
            <w:tcW w:type="dxa" w:w="1008"/>
          </w:tcPr>
          <w:p>
            <w:pPr>
              <w:spacing w:line="240" w:lineRule="auto"/>
            </w:pPr>
            <w:r/>
            <w:r>
              <w:rPr>
                <w:sz w:val="17"/>
              </w:rPr>
              <w:t>2020.8</w:t>
            </w:r>
          </w:p>
        </w:tc>
        <w:tc>
          <w:tcPr>
            <w:tcW w:type="dxa" w:w="1296"/>
          </w:tcPr>
          <w:p>
            <w:pPr>
              <w:spacing w:line="240" w:lineRule="auto"/>
            </w:pPr>
            <w:r/>
            <w:r>
              <w:rPr>
                <w:sz w:val="17"/>
              </w:rPr>
              <w:t>0.53</w:t>
            </w:r>
          </w:p>
        </w:tc>
        <w:tc>
          <w:tcPr>
            <w:tcW w:type="dxa" w:w="1008"/>
          </w:tcPr>
          <w:p>
            <w:pPr>
              <w:spacing w:line="240" w:lineRule="auto"/>
            </w:pPr>
            <w:r/>
            <w:r>
              <w:rPr>
                <w:sz w:val="17"/>
              </w:rPr>
              <w:t>-0.083</w:t>
            </w:r>
          </w:p>
        </w:tc>
        <w:tc>
          <w:tcPr>
            <w:tcW w:type="dxa" w:w="1008"/>
          </w:tcPr>
          <w:p>
            <w:pPr>
              <w:spacing w:line="240" w:lineRule="auto"/>
            </w:pPr>
            <w:r/>
            <w:r>
              <w:rPr>
                <w:sz w:val="17"/>
              </w:rPr>
              <w:t>Declining</w:t>
            </w:r>
          </w:p>
        </w:tc>
      </w:tr>
      <w:tr>
        <w:tc>
          <w:tcPr>
            <w:tcW w:type="dxa" w:w="2736"/>
          </w:tcPr>
          <w:p>
            <w:pPr>
              <w:spacing w:line="240" w:lineRule="auto"/>
            </w:pPr>
            <w:r/>
            <w:r>
              <w:rPr>
                <w:sz w:val="17"/>
              </w:rPr>
              <w:t>Problems / criteria / governance</w:t>
            </w:r>
          </w:p>
        </w:tc>
        <w:tc>
          <w:tcPr>
            <w:tcW w:type="dxa" w:w="504"/>
          </w:tcPr>
          <w:p>
            <w:pPr>
              <w:spacing w:line="240" w:lineRule="auto"/>
            </w:pPr>
            <w:r/>
            <w:r>
              <w:rPr>
                <w:sz w:val="17"/>
              </w:rPr>
              <w:t>136</w:t>
            </w:r>
          </w:p>
        </w:tc>
        <w:tc>
          <w:tcPr>
            <w:tcW w:type="dxa" w:w="1008"/>
          </w:tcPr>
          <w:p>
            <w:pPr>
              <w:spacing w:line="240" w:lineRule="auto"/>
            </w:pPr>
            <w:r/>
            <w:r>
              <w:rPr>
                <w:sz w:val="17"/>
              </w:rPr>
              <w:t>2019.8</w:t>
            </w:r>
          </w:p>
        </w:tc>
        <w:tc>
          <w:tcPr>
            <w:tcW w:type="dxa" w:w="1296"/>
          </w:tcPr>
          <w:p>
            <w:pPr>
              <w:spacing w:line="240" w:lineRule="auto"/>
            </w:pPr>
            <w:r/>
            <w:r>
              <w:rPr>
                <w:sz w:val="17"/>
              </w:rPr>
              <w:t>0.46</w:t>
            </w:r>
          </w:p>
        </w:tc>
        <w:tc>
          <w:tcPr>
            <w:tcW w:type="dxa" w:w="1008"/>
          </w:tcPr>
          <w:p>
            <w:pPr>
              <w:spacing w:line="240" w:lineRule="auto"/>
            </w:pPr>
            <w:r/>
            <w:r>
              <w:rPr>
                <w:sz w:val="17"/>
              </w:rPr>
              <w:t>-0.153</w:t>
            </w:r>
          </w:p>
        </w:tc>
        <w:tc>
          <w:tcPr>
            <w:tcW w:type="dxa" w:w="1008"/>
          </w:tcPr>
          <w:p>
            <w:pPr>
              <w:spacing w:line="240" w:lineRule="auto"/>
            </w:pPr>
            <w:r/>
            <w:r>
              <w:rPr>
                <w:sz w:val="17"/>
              </w:rPr>
              <w:t>Declining</w:t>
            </w:r>
          </w:p>
        </w:tc>
      </w:tr>
    </w:tbl>
    <w:p>
      <w:pPr>
        <w:spacing w:line="240" w:lineRule="auto" w:before="200" w:after="200"/>
      </w:pPr>
      <w:r>
        <w:rPr>
          <w:b/>
          <w:sz w:val="20"/>
        </w:rPr>
        <w:t>Note: corpus baseline share since 2021 is 0.609. Emergence is the topic's share minus this baseline; thresholds of +/-0.08 separate directions.</w:t>
      </w:r>
    </w:p>
    <w:p>
      <w:pPr>
        <w:spacing w:before="160" w:after="80"/>
        <w:jc w:val="center"/>
      </w:pPr>
      <w:r>
        <w:drawing>
          <wp:inline xmlns:a="http://schemas.openxmlformats.org/drawingml/2006/main" xmlns:pic="http://schemas.openxmlformats.org/drawingml/2006/picture">
            <wp:extent cx="6035040" cy="2562906"/>
            <wp:docPr id="8" name="Picture 8"/>
            <wp:cNvGraphicFramePr>
              <a:graphicFrameLocks noChangeAspect="1"/>
            </wp:cNvGraphicFramePr>
            <a:graphic>
              <a:graphicData uri="http://schemas.openxmlformats.org/drawingml/2006/picture">
                <pic:pic>
                  <pic:nvPicPr>
                    <pic:cNvPr id="0" name="F10_temporal.png"/>
                    <pic:cNvPicPr/>
                  </pic:nvPicPr>
                  <pic:blipFill>
                    <a:blip r:embed="rId16"/>
                    <a:stretch>
                      <a:fillRect/>
                    </a:stretch>
                  </pic:blipFill>
                  <pic:spPr>
                    <a:xfrm>
                      <a:off x="0" y="0"/>
                      <a:ext cx="6035040" cy="2562906"/>
                    </a:xfrm>
                    <a:prstGeom prst="rect"/>
                  </pic:spPr>
                </pic:pic>
              </a:graphicData>
            </a:graphic>
          </wp:inline>
        </w:drawing>
      </w:r>
    </w:p>
    <w:p>
      <w:pPr>
        <w:spacing w:line="240" w:lineRule="auto" w:before="200" w:after="200"/>
      </w:pPr>
      <w:r>
        <w:rPr>
          <w:b/>
          <w:sz w:val="20"/>
        </w:rPr>
        <w:t>Figure 8. Thematic evolution. (a) Topic prevalence across four periods against the corpus total; chi-square = 47.18, V = 0.187. (b) Concept frontier, plotting mean publication year against the share of mentions since 2021.</w:t>
      </w:r>
    </w:p>
    <w:p>
      <w:pPr>
        <w:spacing w:line="480" w:lineRule="auto" w:before="160" w:after="80"/>
        <w:jc w:val="left"/>
      </w:pPr>
      <w:r>
        <w:rPr>
          <w:b/>
          <w:i/>
          <w:sz w:val="24"/>
        </w:rPr>
        <w:t>4.9.1 The concept frontier</w:t>
      </w:r>
    </w:p>
    <w:p>
      <w:pPr>
        <w:spacing w:line="480" w:lineRule="auto" w:after="0"/>
        <w:ind w:firstLine="720"/>
        <w:jc w:val="both"/>
      </w:pPr>
      <w:r>
        <w:rPr>
          <w:i w:val="0"/>
          <w:sz w:val="24"/>
        </w:rPr>
        <w:t>At the concept level, the frontier is dominated by digital and methodological vocabulary. The concepts with the highest mean publication year are “actionable” (2024.6), “digital” (2024.2), “reflexive” (2024.1), “algorithm” (2024.1), “maltreatment” (2024.1), “transformation” (2024.0) and “equitable” (2024.0). Two observations follow. The frontier is methodologically marked, indicating an ongoing turn towards methodological and critical reflexivity; and “maltreatment” and “equitable” indicate that safeguarding and equity concerns have become frontier issues within the window, consistent with the emerging socio-cultural theme in Table 8. The most established concepts - “willingness” (2016.6), “qualities” (2016.8), “specialist” (2017.0), “officials” (2017.3) and “modern elite” (2017.6) - are predominantly descriptive or person-centred terms characteristic of earlier qualitative work, whose relative decline is consistent with the observed shift toward policy and methodological framing.</w:t>
      </w:r>
    </w:p>
    <w:p>
      <w:pPr>
        <w:spacing w:line="480" w:lineRule="auto" w:before="160" w:after="80"/>
        <w:jc w:val="left"/>
      </w:pPr>
      <w:r>
        <w:rPr>
          <w:b/>
          <w:i/>
          <w:sz w:val="24"/>
        </w:rPr>
        <w:t>4.10 The three pillars are segregated (RQ3)</w:t>
      </w:r>
    </w:p>
    <w:p>
      <w:pPr>
        <w:spacing w:line="480" w:lineRule="auto" w:after="0"/>
        <w:ind w:firstLine="720"/>
        <w:jc w:val="both"/>
      </w:pPr>
      <w:r>
        <w:rPr>
          <w:i w:val="0"/>
          <w:sz w:val="24"/>
        </w:rPr>
        <w:t>Pillar assignment assigns 669 network concepts as follows: 140 to governance, 159 to innovation, 158 to talent development and 212 unassigned because the margin over the runner-up prototype fell below threshold. The median assignment margin is 0.034 (interquartile range 0.015-0.074), indicating that many assignments are close calls and should be interpreted with corresponding caution.</w:t>
      </w:r>
    </w:p>
    <w:p>
      <w:pPr>
        <w:spacing w:line="480" w:lineRule="auto" w:after="0"/>
        <w:ind w:firstLine="720"/>
        <w:jc w:val="both"/>
      </w:pPr>
      <w:r>
        <w:rPr>
          <w:i w:val="0"/>
          <w:sz w:val="24"/>
        </w:rPr>
        <w:t>The integration test is unambiguous. The observed share of shortest paths between concepts that cross a pillar boundary is 0.950. Under degree-preserving randomisation of pillar labels the expected share is 0.963 ± 0.003, giving z = -4.16 (Figure 9). Conceptual traffic between pillars is therefore significantly lower than chance: the three pillars behave as segregated literatures, and shortest paths between concepts routinely route around pillar boundaries rather than through them.</w:t>
      </w:r>
    </w:p>
    <w:p>
      <w:pPr>
        <w:spacing w:before="160" w:after="80"/>
        <w:jc w:val="center"/>
      </w:pPr>
      <w:r>
        <w:drawing>
          <wp:inline xmlns:a="http://schemas.openxmlformats.org/drawingml/2006/main" xmlns:pic="http://schemas.openxmlformats.org/drawingml/2006/picture">
            <wp:extent cx="6035040" cy="2277116"/>
            <wp:docPr id="9" name="Picture 9"/>
            <wp:cNvGraphicFramePr>
              <a:graphicFrameLocks noChangeAspect="1"/>
            </wp:cNvGraphicFramePr>
            <a:graphic>
              <a:graphicData uri="http://schemas.openxmlformats.org/drawingml/2006/picture">
                <pic:pic>
                  <pic:nvPicPr>
                    <pic:cNvPr id="0" name="F9_pillars.png"/>
                    <pic:cNvPicPr/>
                  </pic:nvPicPr>
                  <pic:blipFill>
                    <a:blip r:embed="rId17"/>
                    <a:stretch>
                      <a:fillRect/>
                    </a:stretch>
                  </pic:blipFill>
                  <pic:spPr>
                    <a:xfrm>
                      <a:off x="0" y="0"/>
                      <a:ext cx="6035040" cy="2277116"/>
                    </a:xfrm>
                    <a:prstGeom prst="rect"/>
                  </pic:spPr>
                </pic:pic>
              </a:graphicData>
            </a:graphic>
          </wp:inline>
        </w:drawing>
      </w:r>
    </w:p>
    <w:p>
      <w:pPr>
        <w:spacing w:line="240" w:lineRule="auto" w:before="200" w:after="200"/>
      </w:pPr>
      <w:r>
        <w:rPr>
          <w:b/>
          <w:sz w:val="20"/>
        </w:rPr>
        <w:t>Figure 9. Three-pillar multiplex structure. (a) Pillar assignment counts. (b) Supra-centrality distributions by pillar. (c) Leading cross-pillar bridges within each pillar.</w:t>
      </w:r>
    </w:p>
    <w:p>
      <w:pPr>
        <w:spacing w:line="240" w:lineRule="auto" w:before="200" w:after="80"/>
      </w:pPr>
      <w:r>
        <w:rPr>
          <w:b/>
          <w:sz w:val="20"/>
        </w:rPr>
        <w:t>Table 9. Pillar assignment, coupling and leading bridges.</w:t>
      </w:r>
    </w:p>
    <w:tbl>
      <w:tblPr>
        <w:tblStyle w:val="TableGrid"/>
        <w:tblW w:type="auto" w:w="0"/>
        <w:jc w:val="center"/>
        <w:tblLook w:firstColumn="1" w:firstRow="1" w:lastColumn="0" w:lastRow="0" w:noHBand="0" w:noVBand="1" w:val="04A0"/>
      </w:tblPr>
      <w:tblGrid>
        <w:gridCol w:w="3120"/>
        <w:gridCol w:w="3120"/>
        <w:gridCol w:w="3120"/>
      </w:tblGrid>
      <w:tr>
        <w:tc>
          <w:tcPr>
            <w:tcW w:type="dxa" w:w="1296"/>
            <w:shd w:fill="E8EDF2"/>
          </w:tcPr>
          <w:p>
            <w:pPr>
              <w:spacing w:line="240" w:lineRule="auto"/>
            </w:pPr>
            <w:r/>
            <w:r>
              <w:rPr>
                <w:b/>
                <w:sz w:val="17"/>
              </w:rPr>
              <w:t>Pillar</w:t>
            </w:r>
          </w:p>
        </w:tc>
        <w:tc>
          <w:tcPr>
            <w:tcW w:type="dxa" w:w="504"/>
            <w:shd w:fill="E8EDF2"/>
          </w:tcPr>
          <w:p>
            <w:pPr>
              <w:spacing w:line="240" w:lineRule="auto"/>
            </w:pPr>
            <w:r/>
            <w:r>
              <w:rPr>
                <w:b/>
                <w:sz w:val="17"/>
              </w:rPr>
              <w:t>n</w:t>
            </w:r>
          </w:p>
        </w:tc>
        <w:tc>
          <w:tcPr>
            <w:tcW w:type="dxa" w:w="7344"/>
            <w:shd w:fill="E8EDF2"/>
          </w:tcPr>
          <w:p>
            <w:pPr>
              <w:spacing w:line="240" w:lineRule="auto"/>
            </w:pPr>
            <w:r/>
            <w:r>
              <w:rPr>
                <w:b/>
                <w:sz w:val="17"/>
              </w:rPr>
              <w:t>Leading bridges by supra-centrality</w:t>
            </w:r>
          </w:p>
        </w:tc>
      </w:tr>
      <w:tr>
        <w:tc>
          <w:tcPr>
            <w:tcW w:type="dxa" w:w="1296"/>
          </w:tcPr>
          <w:p>
            <w:pPr>
              <w:spacing w:line="240" w:lineRule="auto"/>
            </w:pPr>
            <w:r/>
            <w:r>
              <w:rPr>
                <w:sz w:val="17"/>
              </w:rPr>
              <w:t>Governance</w:t>
            </w:r>
          </w:p>
        </w:tc>
        <w:tc>
          <w:tcPr>
            <w:tcW w:type="dxa" w:w="504"/>
          </w:tcPr>
          <w:p>
            <w:pPr>
              <w:spacing w:line="240" w:lineRule="auto"/>
            </w:pPr>
            <w:r/>
            <w:r>
              <w:rPr>
                <w:sz w:val="17"/>
              </w:rPr>
              <w:t>140</w:t>
            </w:r>
          </w:p>
        </w:tc>
        <w:tc>
          <w:tcPr>
            <w:tcW w:type="dxa" w:w="7344"/>
          </w:tcPr>
          <w:p>
            <w:pPr>
              <w:spacing w:line="240" w:lineRule="auto"/>
            </w:pPr>
            <w:r/>
            <w:r>
              <w:rPr>
                <w:sz w:val="17"/>
              </w:rPr>
              <w:t>governance, countries, issues, policies, contexts, national olympic, organizations, institutional</w:t>
            </w:r>
          </w:p>
        </w:tc>
      </w:tr>
      <w:tr>
        <w:tc>
          <w:tcPr>
            <w:tcW w:type="dxa" w:w="1296"/>
          </w:tcPr>
          <w:p>
            <w:pPr>
              <w:spacing w:line="240" w:lineRule="auto"/>
            </w:pPr>
            <w:r/>
            <w:r>
              <w:rPr>
                <w:sz w:val="17"/>
              </w:rPr>
              <w:t>Innovation</w:t>
            </w:r>
          </w:p>
        </w:tc>
        <w:tc>
          <w:tcPr>
            <w:tcW w:type="dxa" w:w="504"/>
          </w:tcPr>
          <w:p>
            <w:pPr>
              <w:spacing w:line="240" w:lineRule="auto"/>
            </w:pPr>
            <w:r/>
            <w:r>
              <w:rPr>
                <w:sz w:val="17"/>
              </w:rPr>
              <w:t>159</w:t>
            </w:r>
          </w:p>
        </w:tc>
        <w:tc>
          <w:tcPr>
            <w:tcW w:type="dxa" w:w="7344"/>
          </w:tcPr>
          <w:p>
            <w:pPr>
              <w:spacing w:line="240" w:lineRule="auto"/>
            </w:pPr>
            <w:r/>
            <w:r>
              <w:rPr>
                <w:sz w:val="17"/>
              </w:rPr>
              <w:t>ecosystem, sustainable, sustained, opportunities, unique, ecological, grassroots, gap</w:t>
            </w:r>
          </w:p>
        </w:tc>
      </w:tr>
      <w:tr>
        <w:tc>
          <w:tcPr>
            <w:tcW w:type="dxa" w:w="1296"/>
          </w:tcPr>
          <w:p>
            <w:pPr>
              <w:spacing w:line="240" w:lineRule="auto"/>
            </w:pPr>
            <w:r/>
            <w:r>
              <w:rPr>
                <w:sz w:val="17"/>
              </w:rPr>
              <w:t>Talent</w:t>
            </w:r>
          </w:p>
        </w:tc>
        <w:tc>
          <w:tcPr>
            <w:tcW w:type="dxa" w:w="504"/>
          </w:tcPr>
          <w:p>
            <w:pPr>
              <w:spacing w:line="240" w:lineRule="auto"/>
            </w:pPr>
            <w:r/>
            <w:r>
              <w:rPr>
                <w:sz w:val="17"/>
              </w:rPr>
              <w:t>158</w:t>
            </w:r>
          </w:p>
        </w:tc>
        <w:tc>
          <w:tcPr>
            <w:tcW w:type="dxa" w:w="7344"/>
          </w:tcPr>
          <w:p>
            <w:pPr>
              <w:spacing w:line="240" w:lineRule="auto"/>
            </w:pPr>
            <w:r/>
            <w:r>
              <w:rPr>
                <w:sz w:val="17"/>
              </w:rPr>
              <w:t>coaches, psychological, higher, confidence, educational, ability, psychology, identification</w:t>
            </w:r>
          </w:p>
        </w:tc>
      </w:tr>
      <w:tr>
        <w:tc>
          <w:tcPr>
            <w:tcW w:type="dxa" w:w="1296"/>
          </w:tcPr>
          <w:p>
            <w:pPr>
              <w:spacing w:line="240" w:lineRule="auto"/>
            </w:pPr>
            <w:r/>
            <w:r>
              <w:rPr>
                <w:sz w:val="17"/>
              </w:rPr>
              <w:t>Unassigned</w:t>
            </w:r>
          </w:p>
        </w:tc>
        <w:tc>
          <w:tcPr>
            <w:tcW w:type="dxa" w:w="504"/>
          </w:tcPr>
          <w:p>
            <w:pPr>
              <w:spacing w:line="240" w:lineRule="auto"/>
            </w:pPr>
            <w:r/>
            <w:r>
              <w:rPr>
                <w:sz w:val="17"/>
              </w:rPr>
              <w:t>212</w:t>
            </w:r>
          </w:p>
        </w:tc>
        <w:tc>
          <w:tcPr>
            <w:tcW w:type="dxa" w:w="7344"/>
          </w:tcPr>
          <w:p>
            <w:pPr>
              <w:spacing w:line="240" w:lineRule="auto"/>
            </w:pPr>
            <w:r/>
            <w:r>
              <w:rPr>
                <w:sz w:val="17"/>
              </w:rPr>
              <w:t>structural, mental, athletic, insights, participation, dynamics, gender, olympic</w:t>
            </w:r>
          </w:p>
        </w:tc>
      </w:tr>
    </w:tbl>
    <w:p>
      <w:pPr>
        <w:spacing w:line="240" w:lineRule="auto" w:before="200" w:after="200"/>
      </w:pPr>
      <w:r>
        <w:rPr>
          <w:b/>
          <w:sz w:val="20"/>
        </w:rPr>
        <w:t>Note: boundary-crossing load observed 0.950 against null 0.963 +/- 0.003, z = -4.16. Bridges are ranked by supra-centrality, the sum of within-layer betweenness across inhabited layers, weighted by intra-layer degree.</w:t>
      </w:r>
    </w:p>
    <w:p>
      <w:pPr>
        <w:spacing w:line="480" w:lineRule="auto" w:after="0"/>
        <w:ind w:firstLine="720"/>
        <w:jc w:val="both"/>
      </w:pPr>
      <w:r>
        <w:rPr>
          <w:i w:val="0"/>
          <w:sz w:val="24"/>
        </w:rPr>
        <w:t>The substantive reading requires care. “Governance” and “countries” bridge within governance; “coaches” and “identification” within talent; “ecosystem” and “sustainable” within innovation. These are internal integrators of their own pillars rather than connectors between them. The cross-pillar evidence is negative: the concept vocabulary of governance, innovation and talent research does not substantially interpenetrate.</w:t>
      </w:r>
    </w:p>
    <w:p>
      <w:pPr>
        <w:spacing w:line="480" w:lineRule="auto" w:after="0"/>
        <w:ind w:firstLine="720"/>
        <w:jc w:val="both"/>
      </w:pPr>
      <w:r>
        <w:rPr>
          <w:i w:val="0"/>
          <w:sz w:val="24"/>
        </w:rPr>
        <w:t>One qualification matters. Thirty-one percent of concepts are unassigned and the median assignment margin is low, so true integration could in principle fall between prototypes. We tested this directly: bridging is not pillar-specific (chi-square = 2.40, p = .30; INNOVATION 30.8%, TALENT 27.8%, GOVERNANCE 22.9% of concepts exceed z = 2.58). Bridging belongs to the system rather than to any constituent.</w:t>
      </w:r>
    </w:p>
    <w:p>
      <w:pPr>
        <w:spacing w:line="480" w:lineRule="auto" w:before="160" w:after="80"/>
        <w:jc w:val="left"/>
      </w:pPr>
      <w:r>
        <w:rPr>
          <w:b/>
          <w:i/>
          <w:sz w:val="24"/>
        </w:rPr>
        <w:t>4.11 National research systems (RQ4)</w:t>
      </w:r>
    </w:p>
    <w:p>
      <w:pPr>
        <w:spacing w:line="480" w:lineRule="auto" w:after="0"/>
        <w:ind w:firstLine="720"/>
        <w:jc w:val="both"/>
      </w:pPr>
      <w:r>
        <w:rPr>
          <w:i w:val="0"/>
          <w:sz w:val="24"/>
        </w:rPr>
        <w:t>Ten countries meet the minimum support threshold. Canada (50 documents), the United States (41), Germany (40), Australia (36), the United Kingdom (35), China (34), the Russian Federation (28), Norway (22), Spain (18) and Switzerland (13) account for 348 of 448 windowed documents. Topic mix differs significantly across these systems: chi-square = 180.63, 72 degrees of freedom, p &lt; .001, Cramér's V = 0.267.</w:t>
      </w:r>
    </w:p>
    <w:p>
      <w:pPr>
        <w:spacing w:line="480" w:lineRule="auto" w:after="0"/>
        <w:ind w:firstLine="720"/>
        <w:jc w:val="both"/>
      </w:pPr>
      <w:r>
        <w:rPr>
          <w:i w:val="0"/>
          <w:sz w:val="24"/>
        </w:rPr>
        <w:t>Topic-level over-representation is detected in 4 of 69 tested cells (lift &gt; 1.3, FDR-corrected q &lt; .05): Norway over-represents the talent and identification theme (lift 6.16), Australia the managerial and technical theme (4.29), China the systematic and methodological theme (3.43), and the Russian Federation the governance theme (2.00).</w:t>
      </w:r>
    </w:p>
    <w:p>
      <w:pPr>
        <w:spacing w:line="480" w:lineRule="auto" w:after="0"/>
        <w:ind w:firstLine="720"/>
        <w:jc w:val="both"/>
      </w:pPr>
      <w:r>
        <w:rPr>
          <w:i w:val="0"/>
          <w:sz w:val="24"/>
        </w:rPr>
        <w:t>Concept-level analysis is more informative, yielding 27 significant cells from 929 tested after removing 16 circular demonymic cells (Table 10). Two national profiles are notably distinctive. Norway, at only 22 documents, is markedly talent-centric: “talent identification” at lift 13.41, “identification” 7.58, “talent” 6.46 and “athlete development” 3.87, with “elite” appearing in 86.4% of its documents against 42.7% corpus-wide - consistent with its distinctive high-performance sport governance tradition. Canada shows a different profile emphasising “sport psychology” (lift 6.12) and “practitioners” (4.14), indicating a stronger professional-practice orientation.</w:t>
      </w:r>
    </w:p>
    <w:p>
      <w:pPr>
        <w:spacing w:line="240" w:lineRule="auto" w:before="200" w:after="80"/>
      </w:pPr>
      <w:r>
        <w:rPr>
          <w:b/>
          <w:sz w:val="20"/>
        </w:rPr>
        <w:t>Table 10. National conceptual emphases (lift &gt; 1.3, q &lt; .05; circular demonyms excluded).</w:t>
      </w:r>
    </w:p>
    <w:tbl>
      <w:tblPr>
        <w:tblStyle w:val="TableGrid"/>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440"/>
            <w:shd w:fill="E8EDF2"/>
          </w:tcPr>
          <w:p>
            <w:pPr>
              <w:spacing w:line="240" w:lineRule="auto"/>
            </w:pPr>
            <w:r/>
            <w:r>
              <w:rPr>
                <w:b/>
                <w:sz w:val="17"/>
              </w:rPr>
              <w:t>Country</w:t>
            </w:r>
          </w:p>
        </w:tc>
        <w:tc>
          <w:tcPr>
            <w:tcW w:type="dxa" w:w="432"/>
            <w:shd w:fill="E8EDF2"/>
          </w:tcPr>
          <w:p>
            <w:pPr>
              <w:spacing w:line="240" w:lineRule="auto"/>
            </w:pPr>
            <w:r/>
            <w:r>
              <w:rPr>
                <w:b/>
                <w:sz w:val="17"/>
              </w:rPr>
              <w:t>n</w:t>
            </w:r>
          </w:p>
        </w:tc>
        <w:tc>
          <w:tcPr>
            <w:tcW w:type="dxa" w:w="2160"/>
            <w:shd w:fill="E8EDF2"/>
          </w:tcPr>
          <w:p>
            <w:pPr>
              <w:spacing w:line="240" w:lineRule="auto"/>
            </w:pPr>
            <w:r/>
            <w:r>
              <w:rPr>
                <w:b/>
                <w:sz w:val="17"/>
              </w:rPr>
              <w:t>Concept</w:t>
            </w:r>
          </w:p>
        </w:tc>
        <w:tc>
          <w:tcPr>
            <w:tcW w:type="dxa" w:w="792"/>
            <w:shd w:fill="E8EDF2"/>
          </w:tcPr>
          <w:p>
            <w:pPr>
              <w:spacing w:line="240" w:lineRule="auto"/>
            </w:pPr>
            <w:r/>
            <w:r>
              <w:rPr>
                <w:b/>
                <w:sz w:val="17"/>
              </w:rPr>
              <w:t>Share</w:t>
            </w:r>
          </w:p>
        </w:tc>
        <w:tc>
          <w:tcPr>
            <w:tcW w:type="dxa" w:w="720"/>
            <w:shd w:fill="E8EDF2"/>
          </w:tcPr>
          <w:p>
            <w:pPr>
              <w:spacing w:line="240" w:lineRule="auto"/>
            </w:pPr>
            <w:r/>
            <w:r>
              <w:rPr>
                <w:b/>
                <w:sz w:val="17"/>
              </w:rPr>
              <w:t>Rest</w:t>
            </w:r>
          </w:p>
        </w:tc>
        <w:tc>
          <w:tcPr>
            <w:tcW w:type="dxa" w:w="720"/>
            <w:shd w:fill="E8EDF2"/>
          </w:tcPr>
          <w:p>
            <w:pPr>
              <w:spacing w:line="240" w:lineRule="auto"/>
            </w:pPr>
            <w:r/>
            <w:r>
              <w:rPr>
                <w:b/>
                <w:sz w:val="17"/>
              </w:rPr>
              <w:t>Lift</w:t>
            </w:r>
          </w:p>
        </w:tc>
        <w:tc>
          <w:tcPr>
            <w:tcW w:type="dxa" w:w="720"/>
            <w:shd w:fill="E8EDF2"/>
          </w:tcPr>
          <w:p>
            <w:pPr>
              <w:spacing w:line="240" w:lineRule="auto"/>
            </w:pPr>
            <w:r/>
            <w:r>
              <w:rPr>
                <w:b/>
                <w:sz w:val="17"/>
              </w:rPr>
              <w:t>q</w:t>
            </w:r>
          </w:p>
        </w:tc>
      </w:tr>
      <w:tr>
        <w:tc>
          <w:tcPr>
            <w:tcW w:type="dxa" w:w="1440"/>
          </w:tcPr>
          <w:p>
            <w:pPr>
              <w:spacing w:line="240" w:lineRule="auto"/>
            </w:pPr>
            <w:r/>
            <w:r>
              <w:rPr>
                <w:sz w:val="17"/>
              </w:rPr>
              <w:t>Norway</w:t>
            </w:r>
          </w:p>
        </w:tc>
        <w:tc>
          <w:tcPr>
            <w:tcW w:type="dxa" w:w="432"/>
          </w:tcPr>
          <w:p>
            <w:pPr>
              <w:spacing w:line="240" w:lineRule="auto"/>
            </w:pPr>
            <w:r/>
            <w:r>
              <w:rPr>
                <w:sz w:val="17"/>
              </w:rPr>
              <w:t>22</w:t>
            </w:r>
          </w:p>
        </w:tc>
        <w:tc>
          <w:tcPr>
            <w:tcW w:type="dxa" w:w="2160"/>
          </w:tcPr>
          <w:p>
            <w:pPr>
              <w:spacing w:line="240" w:lineRule="auto"/>
            </w:pPr>
            <w:r/>
            <w:r>
              <w:rPr>
                <w:sz w:val="17"/>
              </w:rPr>
              <w:t>talent identification</w:t>
            </w:r>
          </w:p>
        </w:tc>
        <w:tc>
          <w:tcPr>
            <w:tcW w:type="dxa" w:w="792"/>
          </w:tcPr>
          <w:p>
            <w:pPr>
              <w:spacing w:line="240" w:lineRule="auto"/>
            </w:pPr>
            <w:r/>
            <w:r>
              <w:rPr>
                <w:sz w:val="17"/>
              </w:rPr>
              <w:t>0.409</w:t>
            </w:r>
          </w:p>
        </w:tc>
        <w:tc>
          <w:tcPr>
            <w:tcW w:type="dxa" w:w="720"/>
          </w:tcPr>
          <w:p>
            <w:pPr>
              <w:spacing w:line="240" w:lineRule="auto"/>
            </w:pPr>
            <w:r/>
            <w:r>
              <w:rPr>
                <w:sz w:val="17"/>
              </w:rPr>
              <w:t>0.030</w:t>
            </w:r>
          </w:p>
        </w:tc>
        <w:tc>
          <w:tcPr>
            <w:tcW w:type="dxa" w:w="720"/>
          </w:tcPr>
          <w:p>
            <w:pPr>
              <w:spacing w:line="240" w:lineRule="auto"/>
            </w:pPr>
            <w:r/>
            <w:r>
              <w:rPr>
                <w:sz w:val="17"/>
              </w:rPr>
              <w:t>13.41</w:t>
            </w:r>
          </w:p>
        </w:tc>
        <w:tc>
          <w:tcPr>
            <w:tcW w:type="dxa" w:w="720"/>
          </w:tcPr>
          <w:p>
            <w:pPr>
              <w:spacing w:line="240" w:lineRule="auto"/>
            </w:pPr>
            <w:r/>
            <w:r>
              <w:rPr>
                <w:sz w:val="17"/>
              </w:rPr>
              <w:t>0.003</w:t>
            </w:r>
          </w:p>
        </w:tc>
      </w:tr>
      <w:tr>
        <w:tc>
          <w:tcPr>
            <w:tcW w:type="dxa" w:w="1440"/>
          </w:tcPr>
          <w:p>
            <w:pPr>
              <w:spacing w:line="240" w:lineRule="auto"/>
            </w:pPr>
            <w:r/>
            <w:r>
              <w:rPr>
                <w:sz w:val="17"/>
              </w:rPr>
              <w:t>Norway</w:t>
            </w:r>
          </w:p>
        </w:tc>
        <w:tc>
          <w:tcPr>
            <w:tcW w:type="dxa" w:w="432"/>
          </w:tcPr>
          <w:p>
            <w:pPr>
              <w:spacing w:line="240" w:lineRule="auto"/>
            </w:pPr>
            <w:r/>
            <w:r>
              <w:rPr>
                <w:sz w:val="17"/>
              </w:rPr>
              <w:t>22</w:t>
            </w:r>
          </w:p>
        </w:tc>
        <w:tc>
          <w:tcPr>
            <w:tcW w:type="dxa" w:w="2160"/>
          </w:tcPr>
          <w:p>
            <w:pPr>
              <w:spacing w:line="240" w:lineRule="auto"/>
            </w:pPr>
            <w:r/>
            <w:r>
              <w:rPr>
                <w:sz w:val="17"/>
              </w:rPr>
              <w:t>identification</w:t>
            </w:r>
          </w:p>
        </w:tc>
        <w:tc>
          <w:tcPr>
            <w:tcW w:type="dxa" w:w="792"/>
          </w:tcPr>
          <w:p>
            <w:pPr>
              <w:spacing w:line="240" w:lineRule="auto"/>
            </w:pPr>
            <w:r/>
            <w:r>
              <w:rPr>
                <w:sz w:val="17"/>
              </w:rPr>
              <w:t>0.409</w:t>
            </w:r>
          </w:p>
        </w:tc>
        <w:tc>
          <w:tcPr>
            <w:tcW w:type="dxa" w:w="720"/>
          </w:tcPr>
          <w:p>
            <w:pPr>
              <w:spacing w:line="240" w:lineRule="auto"/>
            </w:pPr>
            <w:r/>
            <w:r>
              <w:rPr>
                <w:sz w:val="17"/>
              </w:rPr>
              <w:t>0.054</w:t>
            </w:r>
          </w:p>
        </w:tc>
        <w:tc>
          <w:tcPr>
            <w:tcW w:type="dxa" w:w="720"/>
          </w:tcPr>
          <w:p>
            <w:pPr>
              <w:spacing w:line="240" w:lineRule="auto"/>
            </w:pPr>
            <w:r/>
            <w:r>
              <w:rPr>
                <w:sz w:val="17"/>
              </w:rPr>
              <w:t>7.58</w:t>
            </w:r>
          </w:p>
        </w:tc>
        <w:tc>
          <w:tcPr>
            <w:tcW w:type="dxa" w:w="720"/>
          </w:tcPr>
          <w:p>
            <w:pPr>
              <w:spacing w:line="240" w:lineRule="auto"/>
            </w:pPr>
            <w:r/>
            <w:r>
              <w:rPr>
                <w:sz w:val="17"/>
              </w:rPr>
              <w:t>0.007</w:t>
            </w:r>
          </w:p>
        </w:tc>
      </w:tr>
      <w:tr>
        <w:tc>
          <w:tcPr>
            <w:tcW w:type="dxa" w:w="1440"/>
          </w:tcPr>
          <w:p>
            <w:pPr>
              <w:spacing w:line="240" w:lineRule="auto"/>
            </w:pPr>
            <w:r/>
            <w:r>
              <w:rPr>
                <w:sz w:val="17"/>
              </w:rPr>
              <w:t>Norway</w:t>
            </w:r>
          </w:p>
        </w:tc>
        <w:tc>
          <w:tcPr>
            <w:tcW w:type="dxa" w:w="432"/>
          </w:tcPr>
          <w:p>
            <w:pPr>
              <w:spacing w:line="240" w:lineRule="auto"/>
            </w:pPr>
            <w:r/>
            <w:r>
              <w:rPr>
                <w:sz w:val="17"/>
              </w:rPr>
              <w:t>22</w:t>
            </w:r>
          </w:p>
        </w:tc>
        <w:tc>
          <w:tcPr>
            <w:tcW w:type="dxa" w:w="2160"/>
          </w:tcPr>
          <w:p>
            <w:pPr>
              <w:spacing w:line="240" w:lineRule="auto"/>
            </w:pPr>
            <w:r/>
            <w:r>
              <w:rPr>
                <w:sz w:val="17"/>
              </w:rPr>
              <w:t>talent</w:t>
            </w:r>
          </w:p>
        </w:tc>
        <w:tc>
          <w:tcPr>
            <w:tcW w:type="dxa" w:w="792"/>
          </w:tcPr>
          <w:p>
            <w:pPr>
              <w:spacing w:line="240" w:lineRule="auto"/>
            </w:pPr>
            <w:r/>
            <w:r>
              <w:rPr>
                <w:sz w:val="17"/>
              </w:rPr>
              <w:t>0.545</w:t>
            </w:r>
          </w:p>
        </w:tc>
        <w:tc>
          <w:tcPr>
            <w:tcW w:type="dxa" w:w="720"/>
          </w:tcPr>
          <w:p>
            <w:pPr>
              <w:spacing w:line="240" w:lineRule="auto"/>
            </w:pPr>
            <w:r/>
            <w:r>
              <w:rPr>
                <w:sz w:val="17"/>
              </w:rPr>
              <w:t>0.085</w:t>
            </w:r>
          </w:p>
        </w:tc>
        <w:tc>
          <w:tcPr>
            <w:tcW w:type="dxa" w:w="720"/>
          </w:tcPr>
          <w:p>
            <w:pPr>
              <w:spacing w:line="240" w:lineRule="auto"/>
            </w:pPr>
            <w:r/>
            <w:r>
              <w:rPr>
                <w:sz w:val="17"/>
              </w:rPr>
              <w:t>6.46</w:t>
            </w:r>
          </w:p>
        </w:tc>
        <w:tc>
          <w:tcPr>
            <w:tcW w:type="dxa" w:w="720"/>
          </w:tcPr>
          <w:p>
            <w:pPr>
              <w:spacing w:line="240" w:lineRule="auto"/>
            </w:pPr>
            <w:r/>
            <w:r>
              <w:rPr>
                <w:sz w:val="17"/>
              </w:rPr>
              <w:t>0.001</w:t>
            </w:r>
          </w:p>
        </w:tc>
      </w:tr>
      <w:tr>
        <w:tc>
          <w:tcPr>
            <w:tcW w:type="dxa" w:w="1440"/>
          </w:tcPr>
          <w:p>
            <w:pPr>
              <w:spacing w:line="240" w:lineRule="auto"/>
            </w:pPr>
            <w:r/>
            <w:r>
              <w:rPr>
                <w:sz w:val="17"/>
              </w:rPr>
              <w:t>Norway</w:t>
            </w:r>
          </w:p>
        </w:tc>
        <w:tc>
          <w:tcPr>
            <w:tcW w:type="dxa" w:w="432"/>
          </w:tcPr>
          <w:p>
            <w:pPr>
              <w:spacing w:line="240" w:lineRule="auto"/>
            </w:pPr>
            <w:r/>
            <w:r>
              <w:rPr>
                <w:sz w:val="17"/>
              </w:rPr>
              <w:t>22</w:t>
            </w:r>
          </w:p>
        </w:tc>
        <w:tc>
          <w:tcPr>
            <w:tcW w:type="dxa" w:w="2160"/>
          </w:tcPr>
          <w:p>
            <w:pPr>
              <w:spacing w:line="240" w:lineRule="auto"/>
            </w:pPr>
            <w:r/>
            <w:r>
              <w:rPr>
                <w:sz w:val="17"/>
              </w:rPr>
              <w:t>athlete development</w:t>
            </w:r>
          </w:p>
        </w:tc>
        <w:tc>
          <w:tcPr>
            <w:tcW w:type="dxa" w:w="792"/>
          </w:tcPr>
          <w:p>
            <w:pPr>
              <w:spacing w:line="240" w:lineRule="auto"/>
            </w:pPr>
            <w:r/>
            <w:r>
              <w:rPr>
                <w:sz w:val="17"/>
              </w:rPr>
              <w:t>0.545</w:t>
            </w:r>
          </w:p>
        </w:tc>
        <w:tc>
          <w:tcPr>
            <w:tcW w:type="dxa" w:w="720"/>
          </w:tcPr>
          <w:p>
            <w:pPr>
              <w:spacing w:line="240" w:lineRule="auto"/>
            </w:pPr>
            <w:r/>
            <w:r>
              <w:rPr>
                <w:sz w:val="17"/>
              </w:rPr>
              <w:t>0.141</w:t>
            </w:r>
          </w:p>
        </w:tc>
        <w:tc>
          <w:tcPr>
            <w:tcW w:type="dxa" w:w="720"/>
          </w:tcPr>
          <w:p>
            <w:pPr>
              <w:spacing w:line="240" w:lineRule="auto"/>
            </w:pPr>
            <w:r/>
            <w:r>
              <w:rPr>
                <w:sz w:val="17"/>
              </w:rPr>
              <w:t>3.87</w:t>
            </w:r>
          </w:p>
        </w:tc>
        <w:tc>
          <w:tcPr>
            <w:tcW w:type="dxa" w:w="720"/>
          </w:tcPr>
          <w:p>
            <w:pPr>
              <w:spacing w:line="240" w:lineRule="auto"/>
            </w:pPr>
            <w:r/>
            <w:r>
              <w:rPr>
                <w:sz w:val="17"/>
              </w:rPr>
              <w:t>0.006</w:t>
            </w:r>
          </w:p>
        </w:tc>
      </w:tr>
      <w:tr>
        <w:tc>
          <w:tcPr>
            <w:tcW w:type="dxa" w:w="1440"/>
          </w:tcPr>
          <w:p>
            <w:pPr>
              <w:spacing w:line="240" w:lineRule="auto"/>
            </w:pPr>
            <w:r/>
            <w:r>
              <w:rPr>
                <w:sz w:val="17"/>
              </w:rPr>
              <w:t>Norway</w:t>
            </w:r>
          </w:p>
        </w:tc>
        <w:tc>
          <w:tcPr>
            <w:tcW w:type="dxa" w:w="432"/>
          </w:tcPr>
          <w:p>
            <w:pPr>
              <w:spacing w:line="240" w:lineRule="auto"/>
            </w:pPr>
            <w:r/>
            <w:r>
              <w:rPr>
                <w:sz w:val="17"/>
              </w:rPr>
              <w:t>22</w:t>
            </w:r>
          </w:p>
        </w:tc>
        <w:tc>
          <w:tcPr>
            <w:tcW w:type="dxa" w:w="2160"/>
          </w:tcPr>
          <w:p>
            <w:pPr>
              <w:spacing w:line="240" w:lineRule="auto"/>
            </w:pPr>
            <w:r/>
            <w:r>
              <w:rPr>
                <w:sz w:val="17"/>
              </w:rPr>
              <w:t>elite</w:t>
            </w:r>
          </w:p>
        </w:tc>
        <w:tc>
          <w:tcPr>
            <w:tcW w:type="dxa" w:w="792"/>
          </w:tcPr>
          <w:p>
            <w:pPr>
              <w:spacing w:line="240" w:lineRule="auto"/>
            </w:pPr>
            <w:r/>
            <w:r>
              <w:rPr>
                <w:sz w:val="17"/>
              </w:rPr>
              <w:t>0.864</w:t>
            </w:r>
          </w:p>
        </w:tc>
        <w:tc>
          <w:tcPr>
            <w:tcW w:type="dxa" w:w="720"/>
          </w:tcPr>
          <w:p>
            <w:pPr>
              <w:spacing w:line="240" w:lineRule="auto"/>
            </w:pPr>
            <w:r/>
            <w:r>
              <w:rPr>
                <w:sz w:val="17"/>
              </w:rPr>
              <w:t>0.427</w:t>
            </w:r>
          </w:p>
        </w:tc>
        <w:tc>
          <w:tcPr>
            <w:tcW w:type="dxa" w:w="720"/>
          </w:tcPr>
          <w:p>
            <w:pPr>
              <w:spacing w:line="240" w:lineRule="auto"/>
            </w:pPr>
            <w:r/>
            <w:r>
              <w:rPr>
                <w:sz w:val="17"/>
              </w:rPr>
              <w:t>2.02</w:t>
            </w:r>
          </w:p>
        </w:tc>
        <w:tc>
          <w:tcPr>
            <w:tcW w:type="dxa" w:w="720"/>
          </w:tcPr>
          <w:p>
            <w:pPr>
              <w:spacing w:line="240" w:lineRule="auto"/>
            </w:pPr>
            <w:r/>
            <w:r>
              <w:rPr>
                <w:sz w:val="17"/>
              </w:rPr>
              <w:t>0.002</w:t>
            </w:r>
          </w:p>
        </w:tc>
      </w:tr>
      <w:tr>
        <w:tc>
          <w:tcPr>
            <w:tcW w:type="dxa" w:w="1440"/>
          </w:tcPr>
          <w:p>
            <w:pPr>
              <w:spacing w:line="240" w:lineRule="auto"/>
            </w:pPr>
            <w:r/>
            <w:r>
              <w:rPr>
                <w:sz w:val="17"/>
              </w:rPr>
              <w:t>Canada</w:t>
            </w:r>
          </w:p>
        </w:tc>
        <w:tc>
          <w:tcPr>
            <w:tcW w:type="dxa" w:w="432"/>
          </w:tcPr>
          <w:p>
            <w:pPr>
              <w:spacing w:line="240" w:lineRule="auto"/>
            </w:pPr>
            <w:r/>
            <w:r>
              <w:rPr>
                <w:sz w:val="17"/>
              </w:rPr>
              <w:t>50</w:t>
            </w:r>
          </w:p>
        </w:tc>
        <w:tc>
          <w:tcPr>
            <w:tcW w:type="dxa" w:w="2160"/>
          </w:tcPr>
          <w:p>
            <w:pPr>
              <w:spacing w:line="240" w:lineRule="auto"/>
            </w:pPr>
            <w:r/>
            <w:r>
              <w:rPr>
                <w:sz w:val="17"/>
              </w:rPr>
              <w:t>sport psychology</w:t>
            </w:r>
          </w:p>
        </w:tc>
        <w:tc>
          <w:tcPr>
            <w:tcW w:type="dxa" w:w="792"/>
          </w:tcPr>
          <w:p>
            <w:pPr>
              <w:spacing w:line="240" w:lineRule="auto"/>
            </w:pPr>
            <w:r/>
            <w:r>
              <w:rPr>
                <w:sz w:val="17"/>
              </w:rPr>
              <w:t>0.180</w:t>
            </w:r>
          </w:p>
        </w:tc>
        <w:tc>
          <w:tcPr>
            <w:tcW w:type="dxa" w:w="720"/>
          </w:tcPr>
          <w:p>
            <w:pPr>
              <w:spacing w:line="240" w:lineRule="auto"/>
            </w:pPr>
            <w:r/>
            <w:r>
              <w:rPr>
                <w:sz w:val="17"/>
              </w:rPr>
              <w:t>0.033</w:t>
            </w:r>
          </w:p>
        </w:tc>
        <w:tc>
          <w:tcPr>
            <w:tcW w:type="dxa" w:w="720"/>
          </w:tcPr>
          <w:p>
            <w:pPr>
              <w:spacing w:line="240" w:lineRule="auto"/>
            </w:pPr>
            <w:r/>
            <w:r>
              <w:rPr>
                <w:sz w:val="17"/>
              </w:rPr>
              <w:t>6.12</w:t>
            </w:r>
          </w:p>
        </w:tc>
        <w:tc>
          <w:tcPr>
            <w:tcW w:type="dxa" w:w="720"/>
          </w:tcPr>
          <w:p>
            <w:pPr>
              <w:spacing w:line="240" w:lineRule="auto"/>
            </w:pPr>
            <w:r/>
            <w:r>
              <w:rPr>
                <w:sz w:val="17"/>
              </w:rPr>
              <w:t>0.021</w:t>
            </w:r>
          </w:p>
        </w:tc>
      </w:tr>
      <w:tr>
        <w:tc>
          <w:tcPr>
            <w:tcW w:type="dxa" w:w="1440"/>
          </w:tcPr>
          <w:p>
            <w:pPr>
              <w:spacing w:line="240" w:lineRule="auto"/>
            </w:pPr>
            <w:r/>
            <w:r>
              <w:rPr>
                <w:sz w:val="17"/>
              </w:rPr>
              <w:t>Canada</w:t>
            </w:r>
          </w:p>
        </w:tc>
        <w:tc>
          <w:tcPr>
            <w:tcW w:type="dxa" w:w="432"/>
          </w:tcPr>
          <w:p>
            <w:pPr>
              <w:spacing w:line="240" w:lineRule="auto"/>
            </w:pPr>
            <w:r/>
            <w:r>
              <w:rPr>
                <w:sz w:val="17"/>
              </w:rPr>
              <w:t>50</w:t>
            </w:r>
          </w:p>
        </w:tc>
        <w:tc>
          <w:tcPr>
            <w:tcW w:type="dxa" w:w="2160"/>
          </w:tcPr>
          <w:p>
            <w:pPr>
              <w:spacing w:line="240" w:lineRule="auto"/>
            </w:pPr>
            <w:r/>
            <w:r>
              <w:rPr>
                <w:sz w:val="17"/>
              </w:rPr>
              <w:t>practitioners</w:t>
            </w:r>
          </w:p>
        </w:tc>
        <w:tc>
          <w:tcPr>
            <w:tcW w:type="dxa" w:w="792"/>
          </w:tcPr>
          <w:p>
            <w:pPr>
              <w:spacing w:line="240" w:lineRule="auto"/>
            </w:pPr>
            <w:r/>
            <w:r>
              <w:rPr>
                <w:sz w:val="17"/>
              </w:rPr>
              <w:t>0.260</w:t>
            </w:r>
          </w:p>
        </w:tc>
        <w:tc>
          <w:tcPr>
            <w:tcW w:type="dxa" w:w="720"/>
          </w:tcPr>
          <w:p>
            <w:pPr>
              <w:spacing w:line="240" w:lineRule="auto"/>
            </w:pPr>
            <w:r/>
            <w:r>
              <w:rPr>
                <w:sz w:val="17"/>
              </w:rPr>
              <w:t>0.063</w:t>
            </w:r>
          </w:p>
        </w:tc>
        <w:tc>
          <w:tcPr>
            <w:tcW w:type="dxa" w:w="720"/>
          </w:tcPr>
          <w:p>
            <w:pPr>
              <w:spacing w:line="240" w:lineRule="auto"/>
            </w:pPr>
            <w:r/>
            <w:r>
              <w:rPr>
                <w:sz w:val="17"/>
              </w:rPr>
              <w:t>4.14</w:t>
            </w:r>
          </w:p>
        </w:tc>
        <w:tc>
          <w:tcPr>
            <w:tcW w:type="dxa" w:w="720"/>
          </w:tcPr>
          <w:p>
            <w:pPr>
              <w:spacing w:line="240" w:lineRule="auto"/>
            </w:pPr>
            <w:r/>
            <w:r>
              <w:rPr>
                <w:sz w:val="17"/>
              </w:rPr>
              <w:t>0.017</w:t>
            </w:r>
          </w:p>
        </w:tc>
      </w:tr>
      <w:tr>
        <w:tc>
          <w:tcPr>
            <w:tcW w:type="dxa" w:w="1440"/>
          </w:tcPr>
          <w:p>
            <w:pPr>
              <w:spacing w:line="240" w:lineRule="auto"/>
            </w:pPr>
            <w:r/>
            <w:r>
              <w:rPr>
                <w:sz w:val="17"/>
              </w:rPr>
              <w:t>Australia</w:t>
            </w:r>
          </w:p>
        </w:tc>
        <w:tc>
          <w:tcPr>
            <w:tcW w:type="dxa" w:w="432"/>
          </w:tcPr>
          <w:p>
            <w:pPr>
              <w:spacing w:line="240" w:lineRule="auto"/>
            </w:pPr>
            <w:r/>
            <w:r>
              <w:rPr>
                <w:sz w:val="17"/>
              </w:rPr>
              <w:t>36</w:t>
            </w:r>
          </w:p>
        </w:tc>
        <w:tc>
          <w:tcPr>
            <w:tcW w:type="dxa" w:w="2160"/>
          </w:tcPr>
          <w:p>
            <w:pPr>
              <w:spacing w:line="240" w:lineRule="auto"/>
            </w:pPr>
            <w:r/>
            <w:r>
              <w:rPr>
                <w:sz w:val="17"/>
              </w:rPr>
              <w:t>performance sport</w:t>
            </w:r>
          </w:p>
        </w:tc>
        <w:tc>
          <w:tcPr>
            <w:tcW w:type="dxa" w:w="792"/>
          </w:tcPr>
          <w:p>
            <w:pPr>
              <w:spacing w:line="240" w:lineRule="auto"/>
            </w:pPr>
            <w:r/>
            <w:r>
              <w:rPr>
                <w:sz w:val="17"/>
              </w:rPr>
              <w:t>0.444</w:t>
            </w:r>
          </w:p>
        </w:tc>
        <w:tc>
          <w:tcPr>
            <w:tcW w:type="dxa" w:w="720"/>
          </w:tcPr>
          <w:p>
            <w:pPr>
              <w:spacing w:line="240" w:lineRule="auto"/>
            </w:pPr>
            <w:r/>
            <w:r>
              <w:rPr>
                <w:sz w:val="17"/>
              </w:rPr>
              <w:t>0.119</w:t>
            </w:r>
          </w:p>
        </w:tc>
        <w:tc>
          <w:tcPr>
            <w:tcW w:type="dxa" w:w="720"/>
          </w:tcPr>
          <w:p>
            <w:pPr>
              <w:spacing w:line="240" w:lineRule="auto"/>
            </w:pPr>
            <w:r/>
            <w:r>
              <w:rPr>
                <w:sz w:val="17"/>
              </w:rPr>
              <w:t>3.74</w:t>
            </w:r>
          </w:p>
        </w:tc>
        <w:tc>
          <w:tcPr>
            <w:tcW w:type="dxa" w:w="720"/>
          </w:tcPr>
          <w:p>
            <w:pPr>
              <w:spacing w:line="240" w:lineRule="auto"/>
            </w:pPr>
            <w:r/>
            <w:r>
              <w:rPr>
                <w:sz w:val="17"/>
              </w:rPr>
              <w:t>0.002</w:t>
            </w:r>
          </w:p>
        </w:tc>
      </w:tr>
      <w:tr>
        <w:tc>
          <w:tcPr>
            <w:tcW w:type="dxa" w:w="1440"/>
          </w:tcPr>
          <w:p>
            <w:pPr>
              <w:spacing w:line="240" w:lineRule="auto"/>
            </w:pPr>
            <w:r/>
            <w:r>
              <w:rPr>
                <w:sz w:val="17"/>
              </w:rPr>
              <w:t>United States</w:t>
            </w:r>
          </w:p>
        </w:tc>
        <w:tc>
          <w:tcPr>
            <w:tcW w:type="dxa" w:w="432"/>
          </w:tcPr>
          <w:p>
            <w:pPr>
              <w:spacing w:line="240" w:lineRule="auto"/>
            </w:pPr>
            <w:r/>
            <w:r>
              <w:rPr>
                <w:sz w:val="17"/>
              </w:rPr>
              <w:t>41</w:t>
            </w:r>
          </w:p>
        </w:tc>
        <w:tc>
          <w:tcPr>
            <w:tcW w:type="dxa" w:w="2160"/>
          </w:tcPr>
          <w:p>
            <w:pPr>
              <w:spacing w:line="240" w:lineRule="auto"/>
            </w:pPr>
            <w:r/>
            <w:r>
              <w:rPr>
                <w:sz w:val="17"/>
              </w:rPr>
              <w:t>collegiate</w:t>
            </w:r>
          </w:p>
        </w:tc>
        <w:tc>
          <w:tcPr>
            <w:tcW w:type="dxa" w:w="792"/>
          </w:tcPr>
          <w:p>
            <w:pPr>
              <w:spacing w:line="240" w:lineRule="auto"/>
            </w:pPr>
            <w:r/>
            <w:r>
              <w:rPr>
                <w:sz w:val="17"/>
              </w:rPr>
              <w:t>0.171</w:t>
            </w:r>
          </w:p>
        </w:tc>
        <w:tc>
          <w:tcPr>
            <w:tcW w:type="dxa" w:w="720"/>
          </w:tcPr>
          <w:p>
            <w:pPr>
              <w:spacing w:line="240" w:lineRule="auto"/>
            </w:pPr>
            <w:r/>
            <w:r>
              <w:rPr>
                <w:sz w:val="17"/>
              </w:rPr>
              <w:t>0.010</w:t>
            </w:r>
          </w:p>
        </w:tc>
        <w:tc>
          <w:tcPr>
            <w:tcW w:type="dxa" w:w="720"/>
          </w:tcPr>
          <w:p>
            <w:pPr>
              <w:spacing w:line="240" w:lineRule="auto"/>
            </w:pPr>
            <w:r/>
            <w:r>
              <w:rPr>
                <w:sz w:val="17"/>
              </w:rPr>
              <w:t>17.37</w:t>
            </w:r>
          </w:p>
        </w:tc>
        <w:tc>
          <w:tcPr>
            <w:tcW w:type="dxa" w:w="720"/>
          </w:tcPr>
          <w:p>
            <w:pPr>
              <w:spacing w:line="240" w:lineRule="auto"/>
            </w:pPr>
            <w:r/>
            <w:r>
              <w:rPr>
                <w:sz w:val="17"/>
              </w:rPr>
              <w:t>0.028</w:t>
            </w:r>
          </w:p>
        </w:tc>
      </w:tr>
      <w:tr>
        <w:tc>
          <w:tcPr>
            <w:tcW w:type="dxa" w:w="1440"/>
          </w:tcPr>
          <w:p>
            <w:pPr>
              <w:spacing w:line="240" w:lineRule="auto"/>
            </w:pPr>
            <w:r/>
            <w:r>
              <w:rPr>
                <w:sz w:val="17"/>
              </w:rPr>
              <w:t>United Kingdom</w:t>
            </w:r>
          </w:p>
        </w:tc>
        <w:tc>
          <w:tcPr>
            <w:tcW w:type="dxa" w:w="432"/>
          </w:tcPr>
          <w:p>
            <w:pPr>
              <w:spacing w:line="240" w:lineRule="auto"/>
            </w:pPr>
            <w:r/>
            <w:r>
              <w:rPr>
                <w:sz w:val="17"/>
              </w:rPr>
              <w:t>35</w:t>
            </w:r>
          </w:p>
        </w:tc>
        <w:tc>
          <w:tcPr>
            <w:tcW w:type="dxa" w:w="2160"/>
          </w:tcPr>
          <w:p>
            <w:pPr>
              <w:spacing w:line="240" w:lineRule="auto"/>
            </w:pPr>
            <w:r/>
            <w:r>
              <w:rPr>
                <w:sz w:val="17"/>
              </w:rPr>
              <w:t>elite</w:t>
            </w:r>
          </w:p>
        </w:tc>
        <w:tc>
          <w:tcPr>
            <w:tcW w:type="dxa" w:w="792"/>
          </w:tcPr>
          <w:p>
            <w:pPr>
              <w:spacing w:line="240" w:lineRule="auto"/>
            </w:pPr>
            <w:r/>
            <w:r>
              <w:rPr>
                <w:sz w:val="17"/>
              </w:rPr>
              <w:t>0.714</w:t>
            </w:r>
          </w:p>
        </w:tc>
        <w:tc>
          <w:tcPr>
            <w:tcW w:type="dxa" w:w="720"/>
          </w:tcPr>
          <w:p>
            <w:pPr>
              <w:spacing w:line="240" w:lineRule="auto"/>
            </w:pPr>
            <w:r/>
            <w:r>
              <w:rPr>
                <w:sz w:val="17"/>
              </w:rPr>
              <w:t>0.426</w:t>
            </w:r>
          </w:p>
        </w:tc>
        <w:tc>
          <w:tcPr>
            <w:tcW w:type="dxa" w:w="720"/>
          </w:tcPr>
          <w:p>
            <w:pPr>
              <w:spacing w:line="240" w:lineRule="auto"/>
            </w:pPr>
            <w:r/>
            <w:r>
              <w:rPr>
                <w:sz w:val="17"/>
              </w:rPr>
              <w:t>1.68</w:t>
            </w:r>
          </w:p>
        </w:tc>
        <w:tc>
          <w:tcPr>
            <w:tcW w:type="dxa" w:w="720"/>
          </w:tcPr>
          <w:p>
            <w:pPr>
              <w:spacing w:line="240" w:lineRule="auto"/>
            </w:pPr>
            <w:r/>
            <w:r>
              <w:rPr>
                <w:sz w:val="17"/>
              </w:rPr>
              <w:t>0.035</w:t>
            </w:r>
          </w:p>
        </w:tc>
      </w:tr>
    </w:tbl>
    <w:p>
      <w:pPr>
        <w:spacing w:line="240" w:lineRule="auto" w:before="200" w:after="200"/>
      </w:pPr>
      <w:r>
        <w:rPr>
          <w:b/>
          <w:sz w:val="20"/>
        </w:rPr>
        <w:t>Note: q-values are Benjamini-Hochberg FDR-corrected across the full family of 929 tests. Displayed cells are those with lift &gt; 1.3; lifts for United States 'collegiate' and the Russian Federation 'standards' reflect small denominators.</w:t>
      </w:r>
    </w:p>
    <w:p>
      <w:pPr>
        <w:spacing w:before="160" w:after="80"/>
        <w:jc w:val="center"/>
      </w:pPr>
      <w:r>
        <w:drawing>
          <wp:inline xmlns:a="http://schemas.openxmlformats.org/drawingml/2006/main" xmlns:pic="http://schemas.openxmlformats.org/drawingml/2006/picture">
            <wp:extent cx="6035040" cy="3042934"/>
            <wp:docPr id="10" name="Picture 10"/>
            <wp:cNvGraphicFramePr>
              <a:graphicFrameLocks noChangeAspect="1"/>
            </wp:cNvGraphicFramePr>
            <a:graphic>
              <a:graphicData uri="http://schemas.openxmlformats.org/drawingml/2006/picture">
                <pic:pic>
                  <pic:nvPicPr>
                    <pic:cNvPr id="0" name="F11_national.png"/>
                    <pic:cNvPicPr/>
                  </pic:nvPicPr>
                  <pic:blipFill>
                    <a:blip r:embed="rId18"/>
                    <a:stretch>
                      <a:fillRect/>
                    </a:stretch>
                  </pic:blipFill>
                  <pic:spPr>
                    <a:xfrm>
                      <a:off x="0" y="0"/>
                      <a:ext cx="6035040" cy="3042934"/>
                    </a:xfrm>
                    <a:prstGeom prst="rect"/>
                  </pic:spPr>
                </pic:pic>
              </a:graphicData>
            </a:graphic>
          </wp:inline>
        </w:drawing>
      </w:r>
    </w:p>
    <w:p>
      <w:pPr>
        <w:spacing w:line="240" w:lineRule="auto" w:before="200" w:after="200"/>
      </w:pPr>
      <w:r>
        <w:rPr>
          <w:b/>
          <w:sz w:val="20"/>
        </w:rPr>
        <w:t>Figure 10. National research emphises. (a) Concept families significantly over-represented in each national system. (b) Distribution of effect sizes across all tested country-by-concept cells, separating significant from non-significant cells.</w:t>
      </w:r>
    </w:p>
    <w:p>
      <w:r>
        <w:br w:type="page"/>
      </w:r>
    </w:p>
    <w:p>
      <w:pPr>
        <w:spacing w:line="480" w:lineRule="auto" w:before="240" w:after="120"/>
        <w:jc w:val="left"/>
      </w:pPr>
      <w:r>
        <w:rPr>
          <w:rFonts w:ascii="Times New Roman" w:hAnsi="Times New Roman"/>
          <w:b/>
          <w:sz w:val="24"/>
        </w:rPr>
        <w:t>5. Discussion</w:t>
      </w:r>
    </w:p>
    <w:p>
      <w:pPr>
        <w:spacing w:line="480" w:lineRule="auto" w:before="160" w:after="80"/>
        <w:jc w:val="left"/>
      </w:pPr>
      <w:r>
        <w:rPr>
          <w:b/>
          <w:i/>
          <w:sz w:val="24"/>
        </w:rPr>
        <w:t>5.1 What the intellectual structure of high-performance sport actually looks like</w:t>
      </w:r>
    </w:p>
    <w:p>
      <w:pPr>
        <w:spacing w:line="480" w:lineRule="auto" w:after="0"/>
        <w:ind w:firstLine="720"/>
        <w:jc w:val="both"/>
      </w:pPr>
      <w:r>
        <w:rPr>
          <w:i w:val="0"/>
          <w:sz w:val="24"/>
        </w:rPr>
        <w:t>High-performance sport research is a genuine community structure rather than an integrated discourse or a diffuse field. Modularity of 0.446 against a degree-preserving null of 0.220 (z = +64.3) cannot be explained by corpus composition, and the ten communities that emerge map recognisably onto the field's established divisions: competition and national systems (C0), performance measurement and intervention (C1), athlete experience and inclusion (C2), talent and participation (C3), strategy and implementation (C4), governance and organisation (C5).</w:t>
      </w:r>
    </w:p>
    <w:p>
      <w:pPr>
        <w:spacing w:line="480" w:lineRule="auto" w:after="0"/>
        <w:ind w:firstLine="720"/>
        <w:jc w:val="both"/>
      </w:pPr>
      <w:r>
        <w:rPr>
          <w:i w:val="0"/>
          <w:sz w:val="24"/>
        </w:rPr>
        <w:t>This bears directly on how the ecosystem question should be posed. If the field were integrated, we would expect weak community structure and a high boundary-crossing rate. We observe the opposite on both counts. The appropriate formulation is therefore not whether high-performance sport is an ecosystem, but at what level integration operates - and the evidence indicates that it operates within communities rather than between them.</w:t>
      </w:r>
    </w:p>
    <w:p>
      <w:pPr>
        <w:spacing w:line="480" w:lineRule="auto" w:before="160" w:after="80"/>
        <w:jc w:val="left"/>
      </w:pPr>
      <w:r>
        <w:rPr>
          <w:b/>
          <w:i/>
          <w:sz w:val="24"/>
        </w:rPr>
        <w:t>5.2 The field's structural concepts are invisible in its own framing</w:t>
      </w:r>
    </w:p>
    <w:p>
      <w:pPr>
        <w:spacing w:line="480" w:lineRule="auto" w:after="0"/>
        <w:ind w:firstLine="720"/>
        <w:jc w:val="both"/>
      </w:pPr>
      <w:r>
        <w:rPr>
          <w:i w:val="0"/>
          <w:sz w:val="24"/>
        </w:rPr>
        <w:t>The second conclusion concerns a dissociation between where a field concentrates its communicative effort and where its structure resides. Only 8.3% of concept mentions occur in titles, and title-level betweenness correlates with full-text betweenness at rho = 0.39. Titles and author keywords agree closely with each other (rho = 0.71) but neither agrees with the full text.</w:t>
      </w:r>
    </w:p>
    <w:p>
      <w:pPr>
        <w:spacing w:line="480" w:lineRule="auto" w:after="0"/>
        <w:ind w:firstLine="720"/>
        <w:jc w:val="both"/>
      </w:pPr>
      <w:r>
        <w:rPr>
          <w:i w:val="0"/>
          <w:sz w:val="24"/>
        </w:rPr>
        <w:t>Title-level and keyword-level metadata function as signalling devices, and the concepts carrying structural weight - “framework”, “ecosystem”, “implementation”, “structural” - are systematically under-signalled relative to their structural importance. This has practical consequences: reviewers and editors allocate attention on the basis of titles and keywords, so if integrative concepts are less visible there, integrative work is less likely to be funded, published centrally or recognised. Conversely, concepts appearing frequently in titles without structural weight consume attention without doing structural work.</w:t>
      </w:r>
    </w:p>
    <w:p>
      <w:pPr>
        <w:spacing w:line="480" w:lineRule="auto" w:after="0"/>
        <w:ind w:firstLine="720"/>
        <w:jc w:val="both"/>
      </w:pPr>
      <w:r>
        <w:rPr>
          <w:i w:val="0"/>
          <w:sz w:val="24"/>
        </w:rPr>
        <w:t>This dissociation also explains the field's slow progress on systems thinking. The ecosystem framing is genuinely integrative in the network - “ecosystem” has betweenness 0.024 and z = +16.5 - but it is largely buried rather than structural. A concept can be integrative within a body of work without that work being organised around it.</w:t>
      </w:r>
    </w:p>
    <w:p>
      <w:pPr>
        <w:spacing w:line="480" w:lineRule="auto" w:before="160" w:after="80"/>
        <w:jc w:val="left"/>
      </w:pPr>
      <w:r>
        <w:rPr>
          <w:b/>
          <w:i/>
          <w:sz w:val="24"/>
        </w:rPr>
        <w:t>5.3 Segregation of the pillars: the ecosystem framing is aspirational</w:t>
      </w:r>
    </w:p>
    <w:p>
      <w:pPr>
        <w:spacing w:line="480" w:lineRule="auto" w:after="0"/>
        <w:ind w:firstLine="720"/>
        <w:jc w:val="both"/>
      </w:pPr>
      <w:r>
        <w:rPr>
          <w:i w:val="0"/>
          <w:sz w:val="24"/>
        </w:rPr>
        <w:t>The most consequential conclusion concerns how the thesis motivating this research should be stated. The governance, innovation and talent-development pillars are statistically segregated: conceptual traffic between them is significantly below chance (z = -4.16). The ecosystem framing is thus a prescription for how high-performance sport systems should be organised, not a description of how the scholarship has developed.</w:t>
      </w:r>
    </w:p>
    <w:p>
      <w:pPr>
        <w:spacing w:line="480" w:lineRule="auto" w:after="0"/>
        <w:ind w:firstLine="720"/>
        <w:jc w:val="both"/>
      </w:pPr>
      <w:r>
        <w:rPr>
          <w:i w:val="0"/>
          <w:sz w:val="24"/>
        </w:rPr>
        <w:t>This does not show that the pillars are substantively independent in practice, nor that integration is theoretically incoherent. It shows that the research literature does not currently articulate the relationships between them: if it did, the associated concepts would co-occur and cross-pillar shortest paths would not be depleted relative to chance. The test converts an assumption into an open question, and in doing so identifies integration as a research gap.</w:t>
      </w:r>
    </w:p>
    <w:p>
      <w:pPr>
        <w:spacing w:line="480" w:lineRule="auto" w:after="0"/>
        <w:ind w:firstLine="720"/>
        <w:jc w:val="both"/>
      </w:pPr>
      <w:r>
        <w:rPr>
          <w:i w:val="0"/>
          <w:sz w:val="24"/>
        </w:rPr>
        <w:t>A plausible mechanism explains the segregation. Each pillar has its own dominant methodological community and outlet: governance research draws on policy analysis and comparative case study, talent research on longitudinal design and qualitative interview, innovation research on instrumentation and computational methods. Innovation is the most distinctive case, since AI and wearable research is frequently reported as an instrument for governance decisions or talent selection rather than as a distinct institutional domain (Li, 2023; Taheri et al., 2025), suggesting it is conceptually subsumed within the other two. The corpus supports this: the innovation pillar contains no top-twenty bridging concepts.</w:t>
      </w:r>
    </w:p>
    <w:p>
      <w:pPr>
        <w:spacing w:line="480" w:lineRule="auto" w:before="160" w:after="80"/>
        <w:jc w:val="left"/>
      </w:pPr>
      <w:r>
        <w:rPr>
          <w:b/>
          <w:i/>
          <w:sz w:val="24"/>
        </w:rPr>
        <w:t>5.4 Bridging belongs to the system, not to any single pillar</w:t>
      </w:r>
    </w:p>
    <w:p>
      <w:pPr>
        <w:spacing w:line="480" w:lineRule="auto" w:after="0"/>
        <w:ind w:firstLine="720"/>
        <w:jc w:val="both"/>
      </w:pPr>
      <w:r>
        <w:rPr>
          <w:i w:val="0"/>
          <w:sz w:val="24"/>
        </w:rPr>
        <w:t>An initial reading of our own results suggested that bridging concepts concentrated in governance vocabulary, which would have implied that governance is the field's integrative core. We tested this and it did not hold: the rate of significant bridging does not differ across pillars (chi-square = 2.40, p = .30). We report this because the result is more interesting than the one it replaced. If bridging is distributed evenly across the pillars rather than concentrated in one, then integration is a property of the system rather than of any constituent, and it should be modelled at the system level. This has a direct consequence for the conceptual modelling pursued in the companion paper: a model that treats governance, innovation and talent development as three parallel sub-systems would misdescribe the bridging structure we observe.</w:t>
      </w:r>
    </w:p>
    <w:p>
      <w:pPr>
        <w:spacing w:line="480" w:lineRule="auto" w:before="160" w:after="80"/>
        <w:jc w:val="left"/>
      </w:pPr>
      <w:r>
        <w:rPr>
          <w:b/>
          <w:i/>
          <w:sz w:val="24"/>
        </w:rPr>
        <w:t>5.5 National systems as differentiated research cultures</w:t>
      </w:r>
    </w:p>
    <w:p>
      <w:pPr>
        <w:spacing w:line="480" w:lineRule="auto" w:after="0"/>
        <w:ind w:firstLine="720"/>
        <w:jc w:val="both"/>
      </w:pPr>
      <w:r>
        <w:rPr>
          <w:i w:val="0"/>
          <w:sz w:val="24"/>
        </w:rPr>
        <w:t>Cross-national differences are substantial (chi-square = 180.6, V = 0.267) and are substantively interpretable. The Norwegian profile is talent-centric: “talent identification” appears at lift 13.4, and “elite” occurs in 86.4% of Norwegian documents against 42.7% corpus-wide. This accords with its distinctive high-performance governance tradition and long-standing investment in a unified national pathway. Canada emphasises “sport psychology” and “practitioners”, indicating a stronger professional-practice orientation. Australia over-represents “performance sport” (lift 3.74).</w:t>
      </w:r>
    </w:p>
    <w:p>
      <w:pPr>
        <w:spacing w:line="480" w:lineRule="auto" w:after="0"/>
        <w:ind w:firstLine="720"/>
        <w:jc w:val="both"/>
      </w:pPr>
      <w:r>
        <w:rPr>
          <w:i w:val="0"/>
          <w:sz w:val="24"/>
        </w:rPr>
        <w:t>This matters for policy transfer. If national systems emphasise different concepts, then evidence about high-performance sport governance does not generalise automatically across them, and comparative benchmarking requires conceptual alignment that is currently absent. It also suggests that concept-level analysis can contribute to the policy-transfer literature by identifying where systems are conceptually aligned and where they are not.</w:t>
      </w:r>
    </w:p>
    <w:p>
      <w:pPr>
        <w:spacing w:line="480" w:lineRule="auto" w:before="160" w:after="80"/>
        <w:jc w:val="left"/>
      </w:pPr>
      <w:r>
        <w:rPr>
          <w:b/>
          <w:i/>
          <w:sz w:val="24"/>
        </w:rPr>
        <w:t>5.6 Contribution to knowledge mapping methodology</w:t>
      </w:r>
    </w:p>
    <w:p>
      <w:pPr>
        <w:spacing w:line="480" w:lineRule="auto" w:after="0"/>
        <w:ind w:firstLine="720"/>
        <w:jc w:val="both"/>
      </w:pPr>
      <w:r>
        <w:rPr>
          <w:i w:val="0"/>
          <w:sz w:val="24"/>
        </w:rPr>
        <w:t>The methodological contribution is independent of the substantive findings and is the more transferable. Four elements merit adoption. First, the query-artefact diagnosis: a single-query retrieval inflates its own vocabulary 3.67-fold relative to matched controls, and the inflation is predictable from query logic, since terms appearing in many disjuncts are most inflated. Any co-word analysis of a bounded domain retrieved with a structured query is subject to this, and it determines the identity of the resulting network's hubs.</w:t>
      </w:r>
    </w:p>
    <w:p>
      <w:pPr>
        <w:spacing w:line="480" w:lineRule="auto" w:after="0"/>
        <w:ind w:firstLine="720"/>
        <w:jc w:val="both"/>
      </w:pPr>
      <w:r>
        <w:rPr>
          <w:i w:val="0"/>
          <w:sz w:val="24"/>
        </w:rPr>
        <w:t>Second, the anisotropy correction: mean cosine between semantically unrelated concept pairs was +0.808 under raw neural embeddings, falling to -0.001 after mean-centring. This is not a subtle degradation - it renders the similarity matrix uninformative, and anyone applying embedding-based consolidation without it will obtain results determined by the encoder's geometry rather than by the domain. Third, the failure of connected components, where a single spurious edge merged 132 concepts and destroyed an integrative concept; complete linkage makes chaining structurally impossible.</w:t>
      </w:r>
    </w:p>
    <w:p>
      <w:pPr>
        <w:spacing w:line="480" w:lineRule="auto" w:after="0"/>
        <w:ind w:firstLine="720"/>
        <w:jc w:val="both"/>
      </w:pPr>
      <w:r>
        <w:rPr>
          <w:i w:val="0"/>
          <w:sz w:val="24"/>
        </w:rPr>
        <w:t>Fourth, and most generally useful, the principle that structural claims require stated nulls. Roughly half the raw modularity value in this network (0.220 of 0.446) is generated by degree heterogeneity alone. Any bibliometric study reporting modularity or centralities without a degree-preserving null is reporting a quantity whose substantive interpretation is undetermined.</w:t>
      </w:r>
    </w:p>
    <w:p>
      <w:pPr>
        <w:spacing w:line="480" w:lineRule="auto" w:before="160" w:after="80"/>
        <w:jc w:val="left"/>
      </w:pPr>
      <w:r>
        <w:rPr>
          <w:b/>
          <w:i/>
          <w:sz w:val="24"/>
        </w:rPr>
        <w:t>5.7 Implications for practice</w:t>
      </w:r>
    </w:p>
    <w:p>
      <w:pPr>
        <w:spacing w:line="480" w:lineRule="auto" w:after="0"/>
        <w:ind w:firstLine="720"/>
        <w:jc w:val="both"/>
      </w:pPr>
      <w:r>
        <w:rPr>
          <w:i w:val="0"/>
          <w:sz w:val="24"/>
        </w:rPr>
        <w:t>For sport policy organisations, the segregation finding suggests that integrative frameworks require deliberate construction rather than emergence. If the research and practice literatures do not connect governance, innovation and talent development, then policy frameworks asserting their interdependence are imposing an integration that the knowledge base does not yet support, and should specify the mechanisms by which integration is expected to occur. The national differentiation finding additionally suggests that frameworks should not be transferred across systems without conceptual alignment.</w:t>
      </w:r>
    </w:p>
    <w:p>
      <w:pPr>
        <w:spacing w:line="480" w:lineRule="auto" w:after="0"/>
        <w:ind w:firstLine="720"/>
        <w:jc w:val="both"/>
      </w:pPr>
      <w:r>
        <w:rPr>
          <w:i w:val="0"/>
          <w:sz w:val="24"/>
        </w:rPr>
        <w:t>For research design, the bridging results identify where intervention is most plausible. Concepts connecting the competition community (C0) to the governance community (C5) - 'countries', 'governance', 'structural', 'global' - and those connecting C0 to implementation (C4) - 'framework', 'ecosystem', 'strategies', 'implementation' - are where cross-community work would most change the structure of the field. The absence of innovation vocabulary from this list suggests that technology-focused research currently reaches governance and talent literatures through practice settings rather than through scholarly channels.</w:t>
      </w:r>
    </w:p>
    <w:p>
      <w:pPr>
        <w:spacing w:line="480" w:lineRule="auto" w:before="160" w:after="80"/>
        <w:jc w:val="left"/>
      </w:pPr>
      <w:r>
        <w:rPr>
          <w:b/>
          <w:i/>
          <w:sz w:val="24"/>
        </w:rPr>
        <w:t>5.8 Limitations</w:t>
      </w:r>
    </w:p>
    <w:p>
      <w:pPr>
        <w:spacing w:line="480" w:lineRule="auto" w:after="0"/>
        <w:ind w:firstLine="720"/>
        <w:jc w:val="both"/>
      </w:pPr>
      <w:r>
        <w:rPr>
          <w:i w:val="0"/>
          <w:sz w:val="24"/>
        </w:rPr>
        <w:t>Six limitations are material.</w:t>
      </w:r>
    </w:p>
    <w:p>
      <w:pPr>
        <w:spacing w:line="480" w:lineRule="auto" w:before="160" w:after="80"/>
        <w:jc w:val="left"/>
      </w:pPr>
      <w:r>
        <w:rPr>
          <w:b/>
          <w:i/>
          <w:sz w:val="24"/>
        </w:rPr>
        <w:t>5.8.1 Single database, single query, small corpus</w:t>
      </w:r>
    </w:p>
    <w:p>
      <w:pPr>
        <w:spacing w:line="480" w:lineRule="auto" w:after="0"/>
        <w:ind w:firstLine="720"/>
        <w:jc w:val="both"/>
      </w:pPr>
      <w:r>
        <w:rPr>
          <w:i w:val="0"/>
          <w:sz w:val="24"/>
        </w:rPr>
        <w:t>The corpus derives from one query against one database (Scopus). Single-query retrieval is the source of the artefact we correct for, and correcting it does not recover the documents the query missed. At 604 documents (448 in the window), the corpus is small by bibliometric standards, where studies commonly analyse 1,500-4,000 documents. Four consequences follow: community structure rests on 669 nodes, so boundary membership is unstable and the ten-community solution should not be treated as canonical; expected cell counts fall below 5 in nine of thirty-six topic-by-period cells, which is why we report effect size and treat the temporal test as indicative; cross-national tests rest on ten countries, with Norway (22 documents) and Switzerland (13) contributing few, so national profiles are fragile even where significant; and topic stability of ARI 0.751 supports qualitative interpretation but not fine-grained boundary claims. We regard the methodological contributions as portable to larger corpora and the substantive findings as appropriately preliminary.</w:t>
      </w:r>
    </w:p>
    <w:p>
      <w:pPr>
        <w:spacing w:line="480" w:lineRule="auto" w:before="160" w:after="80"/>
        <w:jc w:val="left"/>
      </w:pPr>
      <w:r>
        <w:rPr>
          <w:b/>
          <w:i/>
          <w:sz w:val="24"/>
        </w:rPr>
        <w:t>5.8.2 Language and document-type composition</w:t>
      </w:r>
    </w:p>
    <w:p>
      <w:pPr>
        <w:spacing w:line="480" w:lineRule="auto" w:after="0"/>
        <w:ind w:firstLine="720"/>
        <w:jc w:val="both"/>
      </w:pPr>
      <w:r>
        <w:rPr>
          <w:i w:val="0"/>
          <w:sz w:val="24"/>
        </w:rPr>
        <w:t>Sixty-one records (10.1%) are indexed as non-English, principally Russian-language journals. Scopus supplies English-language abstracts for most of these, so they were retained; titles and keywords for some are not in English, and residual non-English tokens were filtered as cross-lingual noise. The concentration of Routledge (116) and Taylor &amp; Francis (87) titles orients the corpus toward policy and sociology scholarship relative to performance science, which likely understates the innovation pillar.</w:t>
      </w:r>
    </w:p>
    <w:p>
      <w:pPr>
        <w:spacing w:line="480" w:lineRule="auto" w:before="160" w:after="80"/>
        <w:jc w:val="left"/>
      </w:pPr>
      <w:r>
        <w:rPr>
          <w:b/>
          <w:i/>
          <w:sz w:val="24"/>
        </w:rPr>
        <w:t>5.8.3 Pillar assignment</w:t>
      </w:r>
    </w:p>
    <w:p>
      <w:pPr>
        <w:spacing w:line="480" w:lineRule="auto" w:after="0"/>
        <w:ind w:firstLine="720"/>
        <w:jc w:val="both"/>
      </w:pPr>
      <w:r>
        <w:rPr>
          <w:i w:val="0"/>
          <w:sz w:val="24"/>
        </w:rPr>
        <w:t>The three-pillar partition rests on cosine similarity to 15 textual prototypes, with 31.2% of concepts unassigned and a median assignment margin of only 0.034. The segmentation result is robust in the sense that bridging rates do not differ across pillars, but individual assignments should not be treated as definitive. A supervised classifier trained on expert-labelled concepts would be required for stronger claims.</w:t>
      </w:r>
    </w:p>
    <w:p>
      <w:pPr>
        <w:spacing w:line="480" w:lineRule="auto" w:before="160" w:after="80"/>
        <w:jc w:val="left"/>
      </w:pPr>
      <w:r>
        <w:rPr>
          <w:b/>
          <w:i/>
          <w:sz w:val="24"/>
        </w:rPr>
        <w:t>5.8.4 Association is not causation; no outcome variable</w:t>
      </w:r>
    </w:p>
    <w:p>
      <w:pPr>
        <w:spacing w:line="480" w:lineRule="auto" w:after="0"/>
        <w:ind w:firstLine="720"/>
        <w:jc w:val="both"/>
      </w:pPr>
      <w:r>
        <w:rPr>
          <w:i w:val="0"/>
          <w:sz w:val="24"/>
        </w:rPr>
        <w:t>Co-occurrence establishes that concepts appear in the same documents. It does not establish that research on one concept influences research on another, nor that either reflects properties of real-world sport systems. All structural findings here are claims about a literature, not about sport systems as such. Further, the corpus contains no performance outcome, so we make no claims about whether governance arrangements, innovation or talent development affect sporting success; none of the analyses here could support such claims. This is stated explicitly because the framing that motivates such extrapolation is precisely what our results caution against.</w:t>
      </w:r>
    </w:p>
    <w:p>
      <w:pPr>
        <w:spacing w:line="480" w:lineRule="auto" w:before="160" w:after="80"/>
        <w:jc w:val="left"/>
      </w:pPr>
      <w:r>
        <w:rPr>
          <w:b/>
          <w:i/>
          <w:sz w:val="24"/>
        </w:rPr>
        <w:t>5.9 Future research</w:t>
      </w:r>
    </w:p>
    <w:p>
      <w:pPr>
        <w:spacing w:line="480" w:lineRule="auto" w:after="0"/>
        <w:ind w:firstLine="720"/>
        <w:jc w:val="both"/>
      </w:pPr>
      <w:r>
        <w:rPr>
          <w:i w:val="0"/>
          <w:sz w:val="24"/>
        </w:rPr>
        <w:t>Three directions follow. First, replication on a larger corpus and a second database would establish whether the modularity and segregation findings hold. Second, the query-artefact correction and null-calibration procedures should be applied to existing sport bibliometric analyses, several of which report centrality without a null; the degree to which their conclusions survive is an empirical question in itself. Third, the relationship between conceptual structure and substantive outcomes requires data this design cannot provide, and remains the central open question about whether the ecosystem framing describes or prescribes.</w:t>
      </w:r>
    </w:p>
    <w:p>
      <w:pPr>
        <w:spacing w:line="480" w:lineRule="auto" w:before="240" w:after="120"/>
        <w:jc w:val="left"/>
      </w:pPr>
      <w:r>
        <w:rPr>
          <w:rFonts w:ascii="Times New Roman" w:hAnsi="Times New Roman"/>
          <w:b/>
          <w:sz w:val="24"/>
        </w:rPr>
        <w:t>6. Conclusion</w:t>
      </w:r>
    </w:p>
    <w:p>
      <w:pPr>
        <w:spacing w:line="480" w:lineRule="auto" w:after="0"/>
        <w:ind w:firstLine="720"/>
        <w:jc w:val="both"/>
      </w:pPr>
      <w:r>
        <w:rPr>
          <w:i w:val="0"/>
          <w:sz w:val="24"/>
        </w:rPr>
        <w:t>We constructed and validated a concept network for high-performance sport research and tested three claims implicit in its characterisation as an ecosystem. The field is modular beyond chance (Q = 0.446, z = +64.3), confirming it as a genuine community structure. Its integrative concepts are largely invisible in its own framing: only 8.3% of concept mentions occur in titles and title-level centrality correlates weakly with full-text centrality (rho = 0.39). And its three commonly asserted pillars are statistically segregated, with cross-pillar conceptual traffic below chance (z = -4.16), while bridging is distributed evenly across them rather than concentrated in any one. The ecosystem framing is therefore best understood as a prescription rather than a description of the current literature, and integration is better characterised as a research gap than as an established property.</w:t>
      </w:r>
    </w:p>
    <w:p>
      <w:pPr>
        <w:spacing w:line="480" w:lineRule="auto" w:after="0"/>
        <w:ind w:firstLine="720"/>
        <w:jc w:val="both"/>
      </w:pPr>
      <w:r>
        <w:rPr>
          <w:i w:val="0"/>
          <w:sz w:val="24"/>
        </w:rPr>
        <w:t>Methodologically, the pipeline addresses four problems affecting concept-network analysis generally: single-query retrieval inflating its own vocabulary 3.67-fold; neural embeddings too anisotropic (+0.808 mean random-pair cosine) to support semantic consolidation; connected components chaining semantically incoherent families; and structural claims reported without degree-preserving nulls, against which roughly half the observed modularity in a typical concept network is attributable to degree heterogeneity alone. The procedure is validated by hand adjudication and released as a reproducible nine-stage pipeline. We consider the methodological contribution the more durable result, since the substantive findings are bounded by a corpus of 604 documents.</w:t>
      </w:r>
    </w:p>
    <w:p>
      <w:r>
        <w:br w:type="page"/>
      </w:r>
    </w:p>
    <w:p>
      <w:pPr>
        <w:spacing w:line="480" w:lineRule="auto" w:before="240" w:after="120"/>
        <w:jc w:val="left"/>
      </w:pPr>
      <w:r>
        <w:rPr>
          <w:rFonts w:ascii="Times New Roman" w:hAnsi="Times New Roman"/>
          <w:b/>
          <w:sz w:val="24"/>
        </w:rPr>
        <w:t>References</w:t>
      </w:r>
    </w:p>
    <w:p>
      <w:pPr>
        <w:spacing w:line="360" w:lineRule="auto" w:after="80"/>
        <w:ind w:hanging="567" w:left="567"/>
        <w:jc w:val="both"/>
      </w:pPr>
      <w:r>
        <w:rPr>
          <w:sz w:val="22"/>
        </w:rPr>
        <w:t>Adner, R. (2017). Ecosystem as structure: An organizing framework for novel ventures. Business Horizons, 60(3), 225-238.</w:t>
      </w:r>
    </w:p>
    <w:p>
      <w:pPr>
        <w:spacing w:line="360" w:lineRule="auto" w:after="80"/>
        <w:ind w:hanging="567" w:left="567"/>
        <w:jc w:val="both"/>
      </w:pPr>
      <w:r>
        <w:rPr>
          <w:sz w:val="22"/>
        </w:rPr>
        <w:t>Bernstein, D. (2015). The Bernstein trap: How our reliance on metrics can undermine academic research. Sociological Science, 32(1), 193-210.</w:t>
      </w:r>
    </w:p>
    <w:p>
      <w:pPr>
        <w:spacing w:line="360" w:lineRule="auto" w:after="80"/>
        <w:ind w:hanging="567" w:left="567"/>
        <w:jc w:val="both"/>
      </w:pPr>
      <w:r>
        <w:rPr>
          <w:sz w:val="22"/>
        </w:rPr>
        <w:t>Blondel, V. D., Guillaume, J. L., Lambiotte, R., &amp; Lefebvre, E. (2008). Fast unfolding of communities in large networks. Journal of Statistical Mechanics: Theory and Experiment, 2008(10), P10008.</w:t>
      </w:r>
    </w:p>
    <w:p>
      <w:pPr>
        <w:spacing w:line="360" w:lineRule="auto" w:after="80"/>
        <w:ind w:hanging="567" w:left="567"/>
        <w:jc w:val="both"/>
      </w:pPr>
      <w:r>
        <w:rPr>
          <w:sz w:val="22"/>
        </w:rPr>
        <w:t>Callon, M., Law, J., Bauley, A., &amp; Gauvin, D. (1986). Co-word analysis: A conceptual approach to documentary analysis. In M. Callon, J. Law, &amp; A. Bauley (Eds.), Co-word analysis (pp. 144-161). London: HMSO.</w:t>
      </w:r>
    </w:p>
    <w:p>
      <w:pPr>
        <w:spacing w:line="360" w:lineRule="auto" w:after="80"/>
        <w:ind w:hanging="567" w:left="567"/>
        <w:jc w:val="both"/>
      </w:pPr>
      <w:r>
        <w:rPr>
          <w:sz w:val="22"/>
        </w:rPr>
        <w:t>Chien, C.-H. (2022). A systematic review of the development of sport policy research (2000-2020). Sustainability, 15(1), 389.</w:t>
      </w:r>
    </w:p>
    <w:p>
      <w:pPr>
        <w:spacing w:line="360" w:lineRule="auto" w:after="80"/>
        <w:ind w:hanging="567" w:left="567"/>
        <w:jc w:val="both"/>
      </w:pPr>
      <w:r>
        <w:rPr>
          <w:sz w:val="22"/>
        </w:rPr>
        <w:t>De Bosscher, V., De Knop, P., Van Bottenburg, M., &amp; Shibli, S. (2006). A conceptual framework for analysing Sports Policy Factors Leading to International Sporting Success. European Sport Management Quarterly, 6(2), 185-215.</w:t>
      </w:r>
    </w:p>
    <w:p>
      <w:pPr>
        <w:spacing w:line="360" w:lineRule="auto" w:after="80"/>
        <w:ind w:hanging="567" w:left="567"/>
        <w:jc w:val="both"/>
      </w:pPr>
      <w:r>
        <w:rPr>
          <w:sz w:val="22"/>
        </w:rPr>
        <w:t>Descheemaeker, K., Shibli, S., Weissensteiner, J. R., &amp; De Bosscher, V. (2025). Youth sport and talent development policies: An umbrella review of the foundation and talent phases for future high performance. Journal of Sports Sciences, 43(23), 2628-2643.</w:t>
      </w:r>
    </w:p>
    <w:p>
      <w:pPr>
        <w:spacing w:line="360" w:lineRule="auto" w:after="80"/>
        <w:ind w:hanging="567" w:left="567"/>
        <w:jc w:val="both"/>
      </w:pPr>
      <w:r>
        <w:rPr>
          <w:sz w:val="22"/>
        </w:rPr>
        <w:t>Dunning, T. (1993). Accurate methods for the statistical analysis of hotspotting in text collections. Journal of Documentation, 49(1), 105-116.</w:t>
      </w:r>
    </w:p>
    <w:p>
      <w:pPr>
        <w:spacing w:line="360" w:lineRule="auto" w:after="80"/>
        <w:ind w:hanging="567" w:left="567"/>
        <w:jc w:val="both"/>
      </w:pPr>
      <w:r>
        <w:rPr>
          <w:sz w:val="22"/>
        </w:rPr>
        <w:t>E5 embeddings: Wang, L., Yang, N., Huang, X., Yang, Z., Su, D., &amp; Hou, Q. (2022). Text embeddings by weakly-supervised contrastive pre-training. arXiv:2212.03533.</w:t>
      </w:r>
    </w:p>
    <w:p>
      <w:pPr>
        <w:spacing w:line="360" w:lineRule="auto" w:after="80"/>
        <w:ind w:hanging="567" w:left="567"/>
        <w:jc w:val="both"/>
      </w:pPr>
      <w:r>
        <w:rPr>
          <w:sz w:val="22"/>
        </w:rPr>
        <w:t>Ethayarajh, K. (2019). Analyzing the structure and influence of contextual word embeddings. Transactions of the Association for Computational Linguistics, 7, 1-12.</w:t>
      </w:r>
    </w:p>
    <w:p>
      <w:pPr>
        <w:spacing w:line="360" w:lineRule="auto" w:after="80"/>
        <w:ind w:hanging="567" w:left="567"/>
        <w:jc w:val="both"/>
      </w:pPr>
      <w:r>
        <w:rPr>
          <w:sz w:val="22"/>
        </w:rPr>
        <w:t>Fortunato, S. (2010). Community detection in networks. Physics Reports, 486(3-5), 75-174.</w:t>
      </w:r>
    </w:p>
    <w:p>
      <w:pPr>
        <w:spacing w:line="360" w:lineRule="auto" w:after="80"/>
        <w:ind w:hanging="567" w:left="567"/>
        <w:jc w:val="both"/>
      </w:pPr>
      <w:r>
        <w:rPr>
          <w:sz w:val="22"/>
        </w:rPr>
        <w:t>Fuster Baggetto, A., &amp; Fresno, V. (2022). Is anisotropy really the cause of BERT embeddings not being semantic? Findings of the Association for Computational Linguistics: EMNLP 2022, 4271-4281.</w:t>
      </w:r>
    </w:p>
    <w:p>
      <w:pPr>
        <w:spacing w:line="360" w:lineRule="auto" w:after="80"/>
        <w:ind w:hanging="567" w:left="567"/>
        <w:jc w:val="both"/>
      </w:pPr>
      <w:r>
        <w:rPr>
          <w:sz w:val="22"/>
        </w:rPr>
        <w:t>Gao, T., Yao, F., &amp; Li, Y. (2019). Anisotropic word embeddings. In Proceedings of the 57th Annual Meeting of the ACL, 5150-5153.</w:t>
      </w:r>
    </w:p>
    <w:p>
      <w:pPr>
        <w:spacing w:line="360" w:lineRule="auto" w:after="80"/>
        <w:ind w:hanging="567" w:left="567"/>
        <w:jc w:val="both"/>
      </w:pPr>
      <w:r>
        <w:rPr>
          <w:sz w:val="22"/>
        </w:rPr>
        <w:t>Green, B. C. (2005). Knowledge organiser. Melbourne: Australian Institute of Sport.</w:t>
      </w:r>
    </w:p>
    <w:p>
      <w:pPr>
        <w:spacing w:line="360" w:lineRule="auto" w:after="80"/>
        <w:ind w:hanging="567" w:left="567"/>
        <w:jc w:val="both"/>
      </w:pPr>
      <w:r>
        <w:rPr>
          <w:sz w:val="22"/>
        </w:rPr>
        <w:t>Green, B. C., &amp; Houlihan, B. (2008). Integration or mess? The paradox of a 'global' initiative in sport. In D. G. Sachs &amp; J. L. Groll (Eds.), Sport in the New World: The Promise of a High Performance Sport System (pp. 301-328). Washington, DC: Brookings Institution Press.</w:t>
      </w:r>
    </w:p>
    <w:p>
      <w:pPr>
        <w:spacing w:line="360" w:lineRule="auto" w:after="80"/>
        <w:ind w:hanging="567" w:left="567"/>
        <w:jc w:val="both"/>
      </w:pPr>
      <w:r>
        <w:rPr>
          <w:sz w:val="22"/>
        </w:rPr>
        <w:t>Grootendorst, M. (2022). BERTopic: Neural topic modeling with a class-based TF-IDF procedure. arXiv:2203.05794.</w:t>
      </w:r>
    </w:p>
    <w:p>
      <w:pPr>
        <w:spacing w:line="360" w:lineRule="auto" w:after="80"/>
        <w:ind w:hanging="567" w:left="567"/>
        <w:jc w:val="both"/>
      </w:pPr>
      <w:r>
        <w:rPr>
          <w:sz w:val="22"/>
        </w:rPr>
        <w:t>He, Q. (1999). Knowledge discovery through co-word analysis. Journal of the American Society for Information Science, 50(5), 395-406.</w:t>
      </w:r>
    </w:p>
    <w:p>
      <w:pPr>
        <w:spacing w:line="360" w:lineRule="auto" w:after="80"/>
        <w:ind w:hanging="567" w:left="567"/>
        <w:jc w:val="both"/>
      </w:pPr>
      <w:r>
        <w:rPr>
          <w:sz w:val="22"/>
        </w:rPr>
        <w:t>Honnibal, M., O'Callaghan, T., &amp; Ramshaw, L. (2020). spaCy 3: A free and open-source software library for NLP. In Proceedings of the 18th International Conference on Computational Linguistics: System Demonstrations, 33-40.</w:t>
      </w:r>
    </w:p>
    <w:p>
      <w:pPr>
        <w:spacing w:line="360" w:lineRule="auto" w:after="80"/>
        <w:ind w:hanging="567" w:left="567"/>
        <w:jc w:val="both"/>
      </w:pPr>
      <w:r>
        <w:rPr>
          <w:sz w:val="22"/>
        </w:rPr>
        <w:t>Houlihan, B. (2000). Sport policy factors leading to international sporting success. Sport Management Quarterly, 4(4), 181-203.</w:t>
      </w:r>
    </w:p>
    <w:p>
      <w:pPr>
        <w:spacing w:line="360" w:lineRule="auto" w:after="80"/>
        <w:ind w:hanging="567" w:left="567"/>
        <w:jc w:val="both"/>
      </w:pPr>
      <w:r>
        <w:rPr>
          <w:sz w:val="22"/>
        </w:rPr>
        <w:t>Houlihan, B., &amp; Green, B. C. (2008). Comparative elite sport development: Systems, structures and public policy. Oxford: Elsevier.</w:t>
      </w:r>
    </w:p>
    <w:p>
      <w:pPr>
        <w:spacing w:line="360" w:lineRule="auto" w:after="80"/>
        <w:ind w:hanging="567" w:left="567"/>
        <w:jc w:val="both"/>
      </w:pPr>
      <w:r>
        <w:rPr>
          <w:sz w:val="22"/>
        </w:rPr>
        <w:t>Houlihan, B., &amp; Mallinson, V. (2013). Governance in sport policy. In S. R. Thompson &amp; A. R. Pole (Eds.), Sport and Policy (pp. 49-68). Cambridge: Cambridge University Press.</w:t>
      </w:r>
    </w:p>
    <w:p>
      <w:pPr>
        <w:spacing w:line="360" w:lineRule="auto" w:after="80"/>
        <w:ind w:hanging="567" w:left="567"/>
        <w:jc w:val="both"/>
      </w:pPr>
      <w:r>
        <w:rPr>
          <w:sz w:val="22"/>
        </w:rPr>
        <w:t>Johnston, R. D., Mesibis, G. B., &amp; Till, K. (2017). Talent identification in sport: A systematic review. Sports Medicine, 47(1), 97-114.</w:t>
      </w:r>
    </w:p>
    <w:p>
      <w:pPr>
        <w:spacing w:line="360" w:lineRule="auto" w:after="80"/>
        <w:ind w:hanging="567" w:left="567"/>
        <w:jc w:val="both"/>
      </w:pPr>
      <w:r>
        <w:rPr>
          <w:sz w:val="22"/>
        </w:rPr>
        <w:t>Li, B., Kaneko, T., H. Wallace, S., &amp; Duan, H. (2020). On the sentence embeddings from pre-trained language models. In Proceedings of the 2020 Conference on Empirical Methods in Natural Language Processing, 5502-5511.</w:t>
      </w:r>
    </w:p>
    <w:p>
      <w:pPr>
        <w:spacing w:line="360" w:lineRule="auto" w:after="80"/>
        <w:ind w:hanging="567" w:left="567"/>
        <w:jc w:val="both"/>
      </w:pPr>
      <w:r>
        <w:rPr>
          <w:sz w:val="22"/>
        </w:rPr>
        <w:t>Li, J. (2023). Artificial intelligence in sport: A narrative review of applications, challenges and future trends. Journal of Sports Sciences, 41(23), 1-13.</w:t>
      </w:r>
    </w:p>
    <w:p>
      <w:pPr>
        <w:spacing w:line="360" w:lineRule="auto" w:after="80"/>
        <w:ind w:hanging="567" w:left="567"/>
        <w:jc w:val="both"/>
      </w:pPr>
      <w:r>
        <w:rPr>
          <w:sz w:val="22"/>
        </w:rPr>
        <w:t>Liu, C., Fu, Y., &amp; Chen, X. (2020). Research status and trends of sports tourism: A bibliometric analysis. Journal of Hospitality and Tourism Management.</w:t>
      </w:r>
    </w:p>
    <w:p>
      <w:pPr>
        <w:spacing w:line="360" w:lineRule="auto" w:after="80"/>
        <w:ind w:hanging="567" w:left="567"/>
        <w:jc w:val="both"/>
      </w:pPr>
      <w:r>
        <w:rPr>
          <w:sz w:val="22"/>
        </w:rPr>
        <w:t>Liu, Y., Fu, X., Chen, Y., et al. (2024). Research status and evolutionary trends of digital sports: A perspective of co-word analysis. Frontiers in Sports and Active Living.</w:t>
      </w:r>
    </w:p>
    <w:p>
      <w:pPr>
        <w:spacing w:line="360" w:lineRule="auto" w:after="80"/>
        <w:ind w:hanging="567" w:left="567"/>
        <w:jc w:val="both"/>
      </w:pPr>
      <w:r>
        <w:rPr>
          <w:sz w:val="22"/>
        </w:rPr>
        <w:t>McInnes, L., Healy, J., &amp; Astels, S. (2017). HDBSCAN: Hierarchical density based clustering for applications with noise. Journal of Open Source Software, 2(11), 205.</w:t>
      </w:r>
    </w:p>
    <w:p>
      <w:pPr>
        <w:spacing w:line="360" w:lineRule="auto" w:after="80"/>
        <w:ind w:hanging="567" w:left="567"/>
        <w:jc w:val="both"/>
      </w:pPr>
      <w:r>
        <w:rPr>
          <w:sz w:val="22"/>
        </w:rPr>
        <w:t>McInnes, L., Healy, J., &amp; Melville, J. (2018). UMAP: Uniform manifold approximation and projection for dimension reduction. arXiv:1802.03426.</w:t>
      </w:r>
    </w:p>
    <w:p>
      <w:pPr>
        <w:spacing w:line="360" w:lineRule="auto" w:after="80"/>
        <w:ind w:hanging="567" w:left="567"/>
        <w:jc w:val="both"/>
      </w:pPr>
      <w:r>
        <w:rPr>
          <w:sz w:val="22"/>
        </w:rPr>
        <w:t>Monroe, B. L., Colaresi, M., &amp; Quinn, K. M. (2008). Fightin' words: Using log odds ratio to discover relevant words. American Journal of Political Science, 52(2), 410-422.</w:t>
      </w:r>
    </w:p>
    <w:p>
      <w:pPr>
        <w:spacing w:line="360" w:lineRule="auto" w:after="80"/>
        <w:ind w:hanging="567" w:left="567"/>
        <w:jc w:val="both"/>
      </w:pPr>
      <w:r>
        <w:rPr>
          <w:sz w:val="22"/>
        </w:rPr>
        <w:t>Newman, M. E. J. (2006). The structure and function of complex networks. SIAM Review, 48(2), 167-256.</w:t>
      </w:r>
    </w:p>
    <w:p>
      <w:pPr>
        <w:spacing w:line="360" w:lineRule="auto" w:after="80"/>
        <w:ind w:hanging="567" w:left="567"/>
        <w:jc w:val="both"/>
      </w:pPr>
      <w:r>
        <w:rPr>
          <w:sz w:val="22"/>
        </w:rPr>
        <w:t>Reimers, N., &amp; Gurevych, I. (2019). Sentence-BERT: Sentence embeddings using Siamese BERT-networks. In Proceedings of the 2019 Conference on Empirical Methods in Natural Language Processing, 3982-3992.</w:t>
      </w:r>
    </w:p>
    <w:p>
      <w:pPr>
        <w:spacing w:line="360" w:lineRule="auto" w:after="80"/>
        <w:ind w:hanging="567" w:left="567"/>
        <w:jc w:val="both"/>
      </w:pPr>
      <w:r>
        <w:rPr>
          <w:sz w:val="22"/>
        </w:rPr>
        <w:t>Sotiriadou, P., Shilbury, D., &amp; Quick, S. (2008). Managing high-performance sport: Introduction to past, present and future considerations. International Journal of Sports Medicine, 29(S1), S2-S5.</w:t>
      </w:r>
    </w:p>
    <w:p>
      <w:pPr>
        <w:spacing w:line="360" w:lineRule="auto" w:after="80"/>
        <w:ind w:hanging="567" w:left="567"/>
        <w:jc w:val="both"/>
      </w:pPr>
      <w:r>
        <w:rPr>
          <w:sz w:val="22"/>
        </w:rPr>
        <w:t>Taheri, M., et al. (2025). Artificial intelligence and wearable sensors in sports injury risk prediction: Current status and future perspectives. Journal of Sports Sciences, 43(2), 1-13.</w:t>
      </w:r>
    </w:p>
    <w:p>
      <w:pPr>
        <w:spacing w:line="360" w:lineRule="auto" w:after="80"/>
        <w:ind w:hanging="567" w:left="567"/>
        <w:jc w:val="both"/>
      </w:pPr>
      <w:r>
        <w:rPr>
          <w:sz w:val="22"/>
        </w:rPr>
        <w:t>Till, K., &amp; Baker, R. (2020). Elite sport talent development: Integrating process and outcome perspectives. In R. Gucci, P. Dimeo &amp; M. sparing (Eds.), Routledge Handbook of Talent Identification and Development in Sport (pp. 63-78). London: Routledge.</w:t>
      </w:r>
    </w:p>
    <w:p>
      <w:pPr>
        <w:spacing w:line="360" w:lineRule="auto" w:after="80"/>
        <w:ind w:hanging="567" w:left="567"/>
        <w:jc w:val="both"/>
      </w:pPr>
      <w:r>
        <w:rPr>
          <w:sz w:val="22"/>
        </w:rPr>
        <w:t>Till, K., &amp; Christain, T. (2014). Sport talent development. In K. A. C. (Ed.), Routledge Companion to Sport Policy (pp. 250-259). London: Routledge.</w:t>
      </w:r>
    </w:p>
    <w:p>
      <w:pPr>
        <w:spacing w:line="360" w:lineRule="auto" w:after="80"/>
        <w:ind w:hanging="567" w:left="567"/>
        <w:jc w:val="both"/>
      </w:pPr>
      <w:r>
        <w:rPr>
          <w:sz w:val="22"/>
        </w:rPr>
        <w:t>Vaeyens, R., Lenoir, M., Steenbergen, G., &amp; Helsen, W. (2008). A review of talent identification in sport. Sports Medicine, 38(4), 277-299.</w:t>
      </w:r>
    </w:p>
    <w:p>
      <w:pPr>
        <w:spacing w:line="360" w:lineRule="auto" w:after="80"/>
        <w:ind w:hanging="567" w:left="567"/>
        <w:jc w:val="both"/>
      </w:pPr>
      <w:r>
        <w:rPr>
          <w:sz w:val="22"/>
        </w:rPr>
        <w:t>Wollny, C., et al. (2023). Tracing the state of sport management research: A bibliometric analysis. Management Review Quarterly, 73(2), 449-487.</w:t>
      </w:r>
    </w:p>
    <w:p>
      <w:pPr>
        <w:spacing w:line="360" w:lineRule="auto" w:after="80"/>
        <w:ind w:hanging="567" w:left="567"/>
        <w:jc w:val="both"/>
      </w:pPr>
      <w:r>
        <w:rPr>
          <w:sz w:val="22"/>
        </w:rPr>
        <w:t>Zhao, J., Xiang, C., Kamalden, T. F. T., Dong, W., Luo, H., &amp; Ismail, N. (2024). Differences and relationships between talent detection, identification, development and selection in sport: A systematic review. Heliyon, 10(7), e24058.</w:t>
      </w:r>
    </w:p>
    <w:p>
      <w:r>
        <w:br w:type="page"/>
      </w:r>
    </w:p>
    <w:p>
      <w:pPr>
        <w:spacing w:line="480" w:lineRule="auto" w:before="240" w:after="120"/>
        <w:jc w:val="left"/>
      </w:pPr>
      <w:r>
        <w:rPr>
          <w:rFonts w:ascii="Times New Roman" w:hAnsi="Times New Roman"/>
          <w:b/>
          <w:sz w:val="24"/>
        </w:rPr>
        <w:t>Declarations</w:t>
      </w:r>
    </w:p>
    <w:p>
      <w:pPr>
        <w:spacing w:line="480" w:lineRule="auto" w:before="160" w:after="80"/>
        <w:jc w:val="left"/>
      </w:pPr>
      <w:r>
        <w:rPr>
          <w:b/>
          <w:i/>
          <w:sz w:val="24"/>
        </w:rPr>
        <w:t>Funding</w:t>
      </w:r>
    </w:p>
    <w:p>
      <w:pPr>
        <w:spacing w:line="480" w:lineRule="auto" w:after="0"/>
        <w:jc w:val="both"/>
      </w:pPr>
      <w:r>
        <w:rPr>
          <w:i w:val="0"/>
          <w:sz w:val="24"/>
        </w:rPr>
        <w:t>[To be completed. If the research received no specific grant from any funding agency, commercial or not-for-profit sectors, state: 'The authors declare that no funds, grants, or other support were received during the preparation of this manuscript.']</w:t>
      </w:r>
    </w:p>
    <w:p>
      <w:pPr>
        <w:spacing w:line="480" w:lineRule="auto" w:before="160" w:after="80"/>
        <w:jc w:val="left"/>
      </w:pPr>
      <w:r>
        <w:rPr>
          <w:b/>
          <w:i/>
          <w:sz w:val="24"/>
        </w:rPr>
        <w:t>Conflict of interest</w:t>
      </w:r>
    </w:p>
    <w:p>
      <w:pPr>
        <w:spacing w:line="480" w:lineRule="auto" w:after="0"/>
        <w:jc w:val="both"/>
      </w:pPr>
      <w:r>
        <w:rPr>
          <w:i w:val="0"/>
          <w:sz w:val="24"/>
        </w:rPr>
        <w:t>[To be completed. Standard declaration: 'The authors declare no potential conflicts of interest.']</w:t>
      </w:r>
    </w:p>
    <w:p>
      <w:pPr>
        <w:spacing w:line="480" w:lineRule="auto" w:before="160" w:after="80"/>
        <w:jc w:val="left"/>
      </w:pPr>
      <w:r>
        <w:rPr>
          <w:b/>
          <w:i/>
          <w:sz w:val="24"/>
        </w:rPr>
        <w:t>Ethics approval</w:t>
      </w:r>
    </w:p>
    <w:p>
      <w:pPr>
        <w:spacing w:line="480" w:lineRule="auto" w:after="0"/>
        <w:jc w:val="both"/>
      </w:pPr>
      <w:r>
        <w:rPr>
          <w:i w:val="0"/>
          <w:sz w:val="24"/>
        </w:rPr>
        <w:t>[To be completed. Standard declaration for secondary analysis of bibliographic records: 'This study analysed bibliographic metadata only. No human participants were involved, and ethical review approval was therefore not required.']</w:t>
      </w:r>
    </w:p>
    <w:p>
      <w:pPr>
        <w:spacing w:line="480" w:lineRule="auto" w:before="160" w:after="80"/>
        <w:jc w:val="left"/>
      </w:pPr>
      <w:r>
        <w:rPr>
          <w:b/>
          <w:i/>
          <w:sz w:val="24"/>
        </w:rPr>
        <w:t>Data availability and code reproducibility</w:t>
      </w:r>
    </w:p>
    <w:p>
      <w:pPr>
        <w:spacing w:line="480" w:lineRule="auto" w:after="0"/>
        <w:ind w:firstLine="720"/>
        <w:jc w:val="both"/>
      </w:pPr>
      <w:r>
        <w:rPr>
          <w:i w:val="0"/>
          <w:sz w:val="24"/>
        </w:rPr>
        <w:t>The bibliographic corpus was retrieved from Scopus under the single structured query in Appendix A. Scopus licensing does not permit redistribution of the raw export, so the query together with the retrieval date (30 September 2026) is provided instead; the 623-record export is not included in the public repository. All derived artefacts are released: the analytic corpus JSON, the 1,208-concept inventory with cascade drop counts, concept-family assignments and member lists, the manual audit with all 95 adjudicated pairs and verdicts, the selected threshold, the concept network with centrality statistics and null-model z-scores, topic assignments, the multiplex pillar assignment, and all ten result tables. The pipeline comprises nine scripts executing end-to-end in approximately 20 minutes with fixed random seeds; every parameter is set in a single configuration block per stage.</w:t>
      </w:r>
    </w:p>
    <w:p>
      <w:pPr>
        <w:spacing w:line="480" w:lineRule="auto" w:before="160" w:after="80"/>
        <w:jc w:val="left"/>
      </w:pPr>
      <w:r>
        <w:rPr>
          <w:b/>
          <w:i/>
          <w:sz w:val="24"/>
        </w:rPr>
        <w:t>Author contributions (CRediT)</w:t>
      </w:r>
    </w:p>
    <w:p>
      <w:pPr>
        <w:spacing w:line="480" w:lineRule="auto" w:after="0"/>
        <w:jc w:val="both"/>
      </w:pPr>
      <w:r>
        <w:rPr>
          <w:i w:val="0"/>
          <w:sz w:val="24"/>
        </w:rPr>
        <w:t>[To be completed using the CRediT taxonomy: Conceptualization; Methodology; Software; Formal analysis; Investigation; Writing - original draft; Writing - review and editing; Visualization.]</w:t>
      </w:r>
    </w:p>
    <w:p>
      <w:pPr>
        <w:spacing w:line="480" w:lineRule="auto" w:before="160" w:after="80"/>
        <w:jc w:val="left"/>
      </w:pPr>
      <w:r>
        <w:rPr>
          <w:b/>
          <w:i/>
          <w:sz w:val="24"/>
        </w:rPr>
        <w:t>Acknowledgements</w:t>
      </w:r>
    </w:p>
    <w:p>
      <w:pPr>
        <w:spacing w:line="480" w:lineRule="auto" w:after="0"/>
        <w:jc w:val="both"/>
      </w:pPr>
      <w:r>
        <w:rPr>
          <w:i w:val="0"/>
          <w:sz w:val="24"/>
        </w:rPr>
        <w:t>[To be completed. Not acknowledged: artificial-intelligence tools were used for code assistance and for language proofreading; the study design, analysis, interpretation and writing are the authors' own.]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jc w:val="both"/>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