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B57"/>
          <w:sz w:val="34"/>
        </w:rPr>
        <w:t>Mapping the Intellectual Structure of High-Performance Sport Ecosystem Research</w:t>
      </w:r>
    </w:p>
    <w:p>
      <w:pPr>
        <w:spacing w:after="80"/>
      </w:pPr>
      <w:r>
        <w:rPr>
          <w:i/>
          <w:color w:val="555555"/>
          <w:sz w:val="19"/>
        </w:rPr>
        <w:t>Full paper title: Mapping the Intellectual Structure of High-Performance Sport Ecosystem Research: A Null-Calibrated Co-Word and Thematic-Evolution Analysis of Governance, Innovation and Talent Development, 2013-2025</w:t>
      </w:r>
    </w:p>
    <w:p>
      <w:pPr>
        <w:spacing w:after="80"/>
      </w:pPr>
      <w:r>
        <w:rPr>
          <w:i/>
          <w:color w:val="555555"/>
          <w:sz w:val="19"/>
        </w:rPr>
        <w:t>Target journal: International Journal of Sport Policy and Politics (primary); alternatives: European Sport Management Quarterly / Sport Management Review / International Review for the Sociology of Sport</w:t>
      </w:r>
    </w:p>
    <w:p>
      <w:pPr>
        <w:pStyle w:val="Heading1"/>
      </w:pPr>
      <w:r>
        <w:rPr>
          <w:rFonts w:ascii="Calibri" w:hAnsi="Calibri"/>
          <w:color w:val="1F3B57"/>
          <w:sz w:val="28"/>
        </w:rPr>
        <w:t>Manuscript front matter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Title page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Abstract (structured: Background / Purpose / Method / Results / Conclusions)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Keywords (6-8)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Highlights (3-5 bullets, Elsevier format)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Graphical abstract</w:t>
      </w:r>
    </w:p>
    <w:p>
      <w:pPr>
        <w:pStyle w:val="Heading1"/>
      </w:pPr>
      <w:r>
        <w:rPr>
          <w:rFonts w:ascii="Calibri" w:hAnsi="Calibri"/>
          <w:color w:val="1F3B57"/>
          <w:sz w:val="28"/>
        </w:rPr>
        <w:t>1. Introduction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1.1 High-performance sport as an ecosystem: promise and empirical gap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1.2 Governance, innovation and talent development as interdependent pillars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1.3 The measurement problem: why the literature cannot yet be modelled as a system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1.4 Aim and research questions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1.5 Contributions of the study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1.6 Position of the paper</w:t>
      </w:r>
    </w:p>
    <w:p>
      <w:pPr>
        <w:pStyle w:val="Heading1"/>
      </w:pPr>
      <w:r>
        <w:rPr>
          <w:rFonts w:ascii="Calibri" w:hAnsi="Calibri"/>
          <w:color w:val="1F3B57"/>
          <w:sz w:val="28"/>
        </w:rPr>
        <w:t>2. Literature review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2.1 The high-performance sport system tradition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2.2 Sport policy and governance scholarship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2.3 Sport innovation, technology and digital analytics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2.4 Athlete talent development, identification and the pathway literature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2.5 Athlete well-being, dual careers and welfare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2.6 Prior knowledge-mapping studies of sport: contributions and limitations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2.7 Gaps addressed by this study</w:t>
      </w:r>
    </w:p>
    <w:p>
      <w:pPr>
        <w:pStyle w:val="Heading1"/>
      </w:pPr>
      <w:r>
        <w:rPr>
          <w:rFonts w:ascii="Calibri" w:hAnsi="Calibri"/>
          <w:color w:val="1F3B57"/>
          <w:sz w:val="28"/>
        </w:rPr>
        <w:t>3. Method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3.1 Study design and reporting transparency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3.2 Literature search and corpus construction</w:t>
      </w:r>
    </w:p>
    <w:p>
      <w:pPr>
        <w:pStyle w:val="Heading3"/>
      </w:pPr>
      <w:r>
        <w:rPr>
          <w:rFonts w:ascii="Calibri" w:hAnsi="Calibri"/>
          <w:color w:val="1F3B57"/>
          <w:sz w:val="22"/>
        </w:rPr>
        <w:t>3.2.1 Database, search strategy and retrieval date</w:t>
      </w:r>
    </w:p>
    <w:p>
      <w:pPr>
        <w:pStyle w:val="Heading3"/>
      </w:pPr>
      <w:r>
        <w:rPr>
          <w:rFonts w:ascii="Calibri" w:hAnsi="Calibri"/>
          <w:color w:val="1F3B57"/>
          <w:sz w:val="22"/>
        </w:rPr>
        <w:t>3.2.2 Inclusion and exclusion criteria</w:t>
      </w:r>
    </w:p>
    <w:p>
      <w:pPr>
        <w:pStyle w:val="Heading3"/>
      </w:pPr>
      <w:r>
        <w:rPr>
          <w:rFonts w:ascii="Calibri" w:hAnsi="Calibri"/>
          <w:color w:val="1F3B57"/>
          <w:sz w:val="22"/>
        </w:rPr>
        <w:t>3.2.3 Document hygiene and licence-boilerplate removal</w:t>
      </w:r>
    </w:p>
    <w:p>
      <w:pPr>
        <w:pStyle w:val="Heading3"/>
      </w:pPr>
      <w:r>
        <w:rPr>
          <w:rFonts w:ascii="Calibri" w:hAnsi="Calibri"/>
          <w:color w:val="1F3B57"/>
          <w:sz w:val="22"/>
        </w:rPr>
        <w:t>3.2.4 Analysis window and treatment of incomplete 2026 indexing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3.3 Query-artefact problem and its empirical diagnosis</w:t>
      </w:r>
    </w:p>
    <w:p>
      <w:pPr>
        <w:pStyle w:val="Heading3"/>
      </w:pPr>
      <w:r>
        <w:rPr>
          <w:rFonts w:ascii="Calibri" w:hAnsi="Calibri"/>
          <w:color w:val="1F3B57"/>
          <w:sz w:val="22"/>
        </w:rPr>
        <w:t>3.3.1 Single-query inflation of search-string vocabulary</w:t>
      </w:r>
    </w:p>
    <w:p>
      <w:pPr>
        <w:pStyle w:val="Heading3"/>
      </w:pPr>
      <w:r>
        <w:rPr>
          <w:rFonts w:ascii="Calibri" w:hAnsi="Calibri"/>
          <w:color w:val="1F3B57"/>
          <w:sz w:val="22"/>
        </w:rPr>
        <w:t>3.3.2 Necessary-condition tokens</w:t>
      </w:r>
    </w:p>
    <w:p>
      <w:pPr>
        <w:pStyle w:val="Heading3"/>
      </w:pPr>
      <w:r>
        <w:rPr>
          <w:rFonts w:ascii="Calibri" w:hAnsi="Calibri"/>
          <w:color w:val="1F3B57"/>
          <w:sz w:val="22"/>
        </w:rPr>
        <w:t>3.3.3 Query-artefact suppression rule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3.4 Layered corpus design (L1 titles / L2 author keywords / L3 full text)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3.5 POS-aware concept extraction</w:t>
      </w:r>
    </w:p>
    <w:p>
      <w:pPr>
        <w:pStyle w:val="Heading3"/>
      </w:pPr>
      <w:r>
        <w:rPr>
          <w:rFonts w:ascii="Calibri" w:hAnsi="Calibri"/>
          <w:color w:val="1F3B57"/>
          <w:sz w:val="22"/>
        </w:rPr>
        <w:t>3.5.1 Nominal-run constraint and dependency-free parsing</w:t>
      </w:r>
    </w:p>
    <w:p>
      <w:pPr>
        <w:pStyle w:val="Heading3"/>
      </w:pPr>
      <w:r>
        <w:rPr>
          <w:rFonts w:ascii="Calibri" w:hAnsi="Calibri"/>
          <w:color w:val="1F3B57"/>
          <w:sz w:val="22"/>
        </w:rPr>
        <w:t>3.5.2 Filter cascade C1-C7 (support, non-ubiquity, artefact exclusion, maximality, collocation, adjacenting)</w:t>
      </w:r>
    </w:p>
    <w:p>
      <w:pPr>
        <w:pStyle w:val="Heading3"/>
      </w:pPr>
      <w:r>
        <w:rPr>
          <w:rFonts w:ascii="Calibri" w:hAnsi="Calibri"/>
          <w:color w:val="1F3B57"/>
          <w:sz w:val="22"/>
        </w:rPr>
        <w:t>3.5.3 Dunning log-likelihood collocation test</w:t>
      </w:r>
    </w:p>
    <w:p>
      <w:pPr>
        <w:pStyle w:val="Heading3"/>
      </w:pPr>
      <w:r>
        <w:rPr>
          <w:rFonts w:ascii="Calibri" w:hAnsi="Calibri"/>
          <w:color w:val="1F3B57"/>
          <w:sz w:val="22"/>
        </w:rPr>
        <w:t>3.5.4 Left/right adjacency entropy for conceptual atomicity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3.6 SEMCON: semantic concept-family consolidation</w:t>
      </w:r>
    </w:p>
    <w:p>
      <w:pPr>
        <w:pStyle w:val="Heading3"/>
      </w:pPr>
      <w:r>
        <w:rPr>
          <w:rFonts w:ascii="Calibri" w:hAnsi="Calibri"/>
          <w:color w:val="1F3B57"/>
          <w:sz w:val="22"/>
        </w:rPr>
        <w:t>3.6.1 Motivation: synonym fragmentation in surface-string co-word analysis</w:t>
      </w:r>
    </w:p>
    <w:p>
      <w:pPr>
        <w:pStyle w:val="Heading3"/>
      </w:pPr>
      <w:r>
        <w:rPr>
          <w:rFonts w:ascii="Calibri" w:hAnsi="Calibri"/>
          <w:color w:val="1F3B57"/>
          <w:sz w:val="22"/>
        </w:rPr>
        <w:t>3.6.2 Exact normalisation (orthographic and plural)</w:t>
      </w:r>
    </w:p>
    <w:p>
      <w:pPr>
        <w:pStyle w:val="Heading3"/>
      </w:pPr>
      <w:r>
        <w:rPr>
          <w:rFonts w:ascii="Calibri" w:hAnsi="Calibri"/>
          <w:color w:val="1F3B57"/>
          <w:sz w:val="22"/>
        </w:rPr>
        <w:t>3.6.3 Encoder choice and anisotropy correction</w:t>
      </w:r>
    </w:p>
    <w:p>
      <w:pPr>
        <w:pStyle w:val="Heading3"/>
      </w:pPr>
      <w:r>
        <w:rPr>
          <w:rFonts w:ascii="Calibri" w:hAnsi="Calibri"/>
          <w:color w:val="1F3B57"/>
          <w:sz w:val="22"/>
        </w:rPr>
        <w:t>3.6.4 Why connected components fail and complete linkage is required</w:t>
      </w:r>
    </w:p>
    <w:p>
      <w:pPr>
        <w:pStyle w:val="Heading3"/>
      </w:pPr>
      <w:r>
        <w:rPr>
          <w:rFonts w:ascii="Calibri" w:hAnsi="Calibri"/>
          <w:color w:val="1F3B57"/>
          <w:sz w:val="22"/>
        </w:rPr>
        <w:t>3.6.5 Family-size cap as a precision constraint</w:t>
      </w:r>
    </w:p>
    <w:p>
      <w:pPr>
        <w:pStyle w:val="Heading3"/>
      </w:pPr>
      <w:r>
        <w:rPr>
          <w:rFonts w:ascii="Calibri" w:hAnsi="Calibri"/>
          <w:color w:val="1F3B57"/>
          <w:sz w:val="22"/>
        </w:rPr>
        <w:t>3.6.6 Threshold calibration by hand-adjudicated audit</w:t>
      </w:r>
    </w:p>
    <w:p>
      <w:pPr>
        <w:pStyle w:val="Heading3"/>
      </w:pPr>
      <w:r>
        <w:rPr>
          <w:rFonts w:ascii="Calibri" w:hAnsi="Calibri"/>
          <w:color w:val="1F3B57"/>
          <w:sz w:val="22"/>
        </w:rPr>
        <w:t>3.6.7 Automatic over-merge screen (antonym and low-similarity flags)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3.7 Co-occurrence network construction</w:t>
      </w:r>
    </w:p>
    <w:p>
      <w:pPr>
        <w:pStyle w:val="Heading3"/>
      </w:pPr>
      <w:r>
        <w:rPr>
          <w:rFonts w:ascii="Calibri" w:hAnsi="Calibri"/>
          <w:color w:val="1F3B57"/>
          <w:sz w:val="22"/>
        </w:rPr>
        <w:t>3.7.1 Specificity window for node selection</w:t>
      </w:r>
    </w:p>
    <w:p>
      <w:pPr>
        <w:pStyle w:val="Heading3"/>
      </w:pPr>
      <w:r>
        <w:rPr>
          <w:rFonts w:ascii="Calibri" w:hAnsi="Calibri"/>
          <w:color w:val="1F3B57"/>
          <w:sz w:val="22"/>
        </w:rPr>
        <w:t>3.7.2 Edge null model: degree-preserving bipartite randomisation</w:t>
      </w:r>
    </w:p>
    <w:p>
      <w:pPr>
        <w:pStyle w:val="Heading3"/>
      </w:pPr>
      <w:r>
        <w:rPr>
          <w:rFonts w:ascii="Calibri" w:hAnsi="Calibri"/>
          <w:color w:val="1F3B57"/>
          <w:sz w:val="22"/>
        </w:rPr>
        <w:t>3.7.3 Edge weight: association strength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3.8 Centrality measures and community detection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3.9 Structural null model and hypothesis testing</w:t>
      </w:r>
    </w:p>
    <w:p>
      <w:pPr>
        <w:pStyle w:val="Heading3"/>
      </w:pPr>
      <w:r>
        <w:rPr>
          <w:rFonts w:ascii="Calibri" w:hAnsi="Calibri"/>
          <w:color w:val="1F3B57"/>
          <w:sz w:val="22"/>
        </w:rPr>
        <w:t>3.9.1 Configuration model for modularity and betweenness</w:t>
      </w:r>
    </w:p>
    <w:p>
      <w:pPr>
        <w:pStyle w:val="Heading3"/>
      </w:pPr>
      <w:r>
        <w:rPr>
          <w:rFonts w:ascii="Calibri" w:hAnsi="Calibri"/>
          <w:color w:val="1F3B57"/>
          <w:sz w:val="22"/>
        </w:rPr>
        <w:t>3.9.2 Approximation strategy and its justification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3.10 Embedding-based topic modelling</w:t>
      </w:r>
    </w:p>
    <w:p>
      <w:pPr>
        <w:pStyle w:val="Heading3"/>
      </w:pPr>
      <w:r>
        <w:rPr>
          <w:rFonts w:ascii="Calibri" w:hAnsi="Calibri"/>
          <w:color w:val="1F3B57"/>
          <w:sz w:val="22"/>
        </w:rPr>
        <w:t>3.10.1 UMAP dimensionality reduction</w:t>
      </w:r>
    </w:p>
    <w:p>
      <w:pPr>
        <w:pStyle w:val="Heading3"/>
      </w:pPr>
      <w:r>
        <w:rPr>
          <w:rFonts w:ascii="Calibri" w:hAnsi="Calibri"/>
          <w:color w:val="1F3B57"/>
          <w:sz w:val="22"/>
        </w:rPr>
        <w:t>3.10.2 HDBSCAN density-based clustering and the noise cluster</w:t>
      </w:r>
    </w:p>
    <w:p>
      <w:pPr>
        <w:pStyle w:val="Heading3"/>
      </w:pPr>
      <w:r>
        <w:rPr>
          <w:rFonts w:ascii="Calibri" w:hAnsi="Calibri"/>
          <w:color w:val="1F3B57"/>
          <w:sz w:val="22"/>
        </w:rPr>
        <w:t>3.10.3 Parameter grid, silhouette and cluster-validity criteria</w:t>
      </w:r>
    </w:p>
    <w:p>
      <w:pPr>
        <w:pStyle w:val="Heading3"/>
      </w:pPr>
      <w:r>
        <w:rPr>
          <w:rFonts w:ascii="Calibri" w:hAnsi="Calibri"/>
          <w:color w:val="1F3B57"/>
          <w:sz w:val="22"/>
        </w:rPr>
        <w:t>3.10.4 c-TF-IDF labelling over concept families</w:t>
      </w:r>
    </w:p>
    <w:p>
      <w:pPr>
        <w:pStyle w:val="Heading3"/>
      </w:pPr>
      <w:r>
        <w:rPr>
          <w:rFonts w:ascii="Calibri" w:hAnsi="Calibri"/>
          <w:color w:val="1F3B57"/>
          <w:sz w:val="22"/>
        </w:rPr>
        <w:t>3.10.5 Contrastive log-odds with informative Dirichlet prior</w:t>
      </w:r>
    </w:p>
    <w:p>
      <w:pPr>
        <w:pStyle w:val="Heading3"/>
      </w:pPr>
      <w:r>
        <w:rPr>
          <w:rFonts w:ascii="Calibri" w:hAnsi="Calibri"/>
          <w:color w:val="1F3B57"/>
          <w:sz w:val="22"/>
        </w:rPr>
        <w:t>3.10.6 Topic stability via bootstrap co-assignment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3.11 Temporal and cross-national inference</w:t>
      </w:r>
    </w:p>
    <w:p>
      <w:pPr>
        <w:pStyle w:val="Heading3"/>
      </w:pPr>
      <w:r>
        <w:rPr>
          <w:rFonts w:ascii="Calibri" w:hAnsi="Calibri"/>
          <w:color w:val="1F3B57"/>
          <w:sz w:val="22"/>
        </w:rPr>
        <w:t>3.11.1 Periodisation</w:t>
      </w:r>
    </w:p>
    <w:p>
      <w:pPr>
        <w:pStyle w:val="Heading3"/>
      </w:pPr>
      <w:r>
        <w:rPr>
          <w:rFonts w:ascii="Calibri" w:hAnsi="Calibri"/>
          <w:color w:val="1F3B57"/>
          <w:sz w:val="22"/>
        </w:rPr>
        <w:t>3.11.2 Chi-square with Cramér's V and expected-count diagnostics</w:t>
      </w:r>
    </w:p>
    <w:p>
      <w:pPr>
        <w:pStyle w:val="Heading3"/>
      </w:pPr>
      <w:r>
        <w:rPr>
          <w:rFonts w:ascii="Calibri" w:hAnsi="Calibri"/>
          <w:color w:val="1F3B57"/>
          <w:sz w:val="22"/>
        </w:rPr>
        <w:t>3.11.3 Emergence and decline scoring</w:t>
      </w:r>
    </w:p>
    <w:p>
      <w:pPr>
        <w:pStyle w:val="Heading3"/>
      </w:pPr>
      <w:r>
        <w:rPr>
          <w:rFonts w:ascii="Calibri" w:hAnsi="Calibri"/>
          <w:color w:val="1F3B57"/>
          <w:sz w:val="22"/>
        </w:rPr>
        <w:t>3.11.4 Two-proportion tests with Benjamini-Hochberg FDR</w:t>
      </w:r>
    </w:p>
    <w:p>
      <w:pPr>
        <w:pStyle w:val="Heading3"/>
      </w:pPr>
      <w:r>
        <w:rPr>
          <w:rFonts w:ascii="Calibri" w:hAnsi="Calibri"/>
          <w:color w:val="1F3B57"/>
          <w:sz w:val="22"/>
        </w:rPr>
        <w:t>3.11.5 Exclusion of circular demonymic tests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3.12 Multiplex construction and pillar assignment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3.13 Software, reproducibility and robustness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3.14 Ethics and reporting statement</w:t>
      </w:r>
    </w:p>
    <w:p>
      <w:pPr>
        <w:pStyle w:val="Heading1"/>
      </w:pPr>
      <w:r>
        <w:rPr>
          <w:rFonts w:ascii="Calibri" w:hAnsi="Calibri"/>
          <w:color w:val="1F3B57"/>
          <w:sz w:val="28"/>
        </w:rPr>
        <w:t>4. Results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4.1 Corpus characteristics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4.2 The query string is a stronger predictor of frequency than the field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4.3 Mined concept inventory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4.4 SEMCON validation and consolidation outcomes</w:t>
      </w:r>
    </w:p>
    <w:p>
      <w:pPr>
        <w:pStyle w:val="Heading3"/>
      </w:pPr>
      <w:r>
        <w:rPr>
          <w:rFonts w:ascii="Calibri" w:hAnsi="Calibri"/>
          <w:color w:val="1F3B57"/>
          <w:sz w:val="22"/>
        </w:rPr>
        <w:t>4.4.1 Anisotropy correction and encoder behaviour</w:t>
      </w:r>
    </w:p>
    <w:p>
      <w:pPr>
        <w:pStyle w:val="Heading3"/>
      </w:pPr>
      <w:r>
        <w:rPr>
          <w:rFonts w:ascii="Calibri" w:hAnsi="Calibri"/>
          <w:color w:val="1F3B57"/>
          <w:sz w:val="22"/>
        </w:rPr>
        <w:t>4.4.2 Exact-normalisation gains</w:t>
      </w:r>
    </w:p>
    <w:p>
      <w:pPr>
        <w:pStyle w:val="Heading3"/>
      </w:pPr>
      <w:r>
        <w:rPr>
          <w:rFonts w:ascii="Calibri" w:hAnsi="Calibri"/>
          <w:color w:val="1F3B57"/>
          <w:sz w:val="22"/>
        </w:rPr>
        <w:t>4.4.3 Audited precision and threshold selection</w:t>
      </w:r>
    </w:p>
    <w:p>
      <w:pPr>
        <w:pStyle w:val="Heading3"/>
      </w:pPr>
      <w:r>
        <w:rPr>
          <w:rFonts w:ascii="Calibri" w:hAnsi="Calibri"/>
          <w:color w:val="1F3B57"/>
          <w:sz w:val="22"/>
        </w:rPr>
        <w:t>4.4.4 Over-merge screen results</w:t>
      </w:r>
    </w:p>
    <w:p>
      <w:pPr>
        <w:pStyle w:val="Heading3"/>
      </w:pPr>
      <w:r>
        <w:rPr>
          <w:rFonts w:ascii="Calibri" w:hAnsi="Calibri"/>
          <w:color w:val="1F3B57"/>
          <w:sz w:val="22"/>
        </w:rPr>
        <w:t>4.4.5 Semantic families versus co-occurrence communities: divergence as a finding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4.5 The field is a genuine community structure</w:t>
      </w:r>
    </w:p>
    <w:p>
      <w:pPr>
        <w:pStyle w:val="Heading3"/>
      </w:pPr>
      <w:r>
        <w:rPr>
          <w:rFonts w:ascii="Calibri" w:hAnsi="Calibri"/>
          <w:color w:val="1F3B57"/>
          <w:sz w:val="22"/>
        </w:rPr>
        <w:t>4.5.1 Network topology and resolution profile</w:t>
      </w:r>
    </w:p>
    <w:p>
      <w:pPr>
        <w:pStyle w:val="Heading3"/>
      </w:pPr>
      <w:r>
        <w:rPr>
          <w:rFonts w:ascii="Calibri" w:hAnsi="Calibri"/>
          <w:color w:val="1F3B57"/>
          <w:sz w:val="22"/>
        </w:rPr>
        <w:t>4.5.2 Modularity against the configuration-model null</w:t>
      </w:r>
    </w:p>
    <w:p>
      <w:pPr>
        <w:pStyle w:val="Heading3"/>
      </w:pPr>
      <w:r>
        <w:rPr>
          <w:rFonts w:ascii="Calibri" w:hAnsi="Calibri"/>
          <w:color w:val="1F3B57"/>
          <w:sz w:val="22"/>
        </w:rPr>
        <w:t>4.5.3 Community profiles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4.6 Concept stratification: framing versus intellectual infrastructure</w:t>
      </w:r>
    </w:p>
    <w:p>
      <w:pPr>
        <w:pStyle w:val="Heading3"/>
      </w:pPr>
      <w:r>
        <w:rPr>
          <w:rFonts w:ascii="Calibri" w:hAnsi="Calibri"/>
          <w:color w:val="1F3B57"/>
          <w:sz w:val="22"/>
        </w:rPr>
        <w:t>4.6.1 Provenance ratios</w:t>
      </w:r>
    </w:p>
    <w:p>
      <w:pPr>
        <w:pStyle w:val="Heading3"/>
      </w:pPr>
      <w:r>
        <w:rPr>
          <w:rFonts w:ascii="Calibri" w:hAnsi="Calibri"/>
          <w:color w:val="1F3B57"/>
          <w:sz w:val="22"/>
        </w:rPr>
        <w:t>4.6.2 Layer concordance</w:t>
      </w:r>
    </w:p>
    <w:p>
      <w:pPr>
        <w:pStyle w:val="Heading3"/>
      </w:pPr>
      <w:r>
        <w:rPr>
          <w:rFonts w:ascii="Calibri" w:hAnsi="Calibri"/>
          <w:color w:val="1F3B57"/>
          <w:sz w:val="22"/>
        </w:rPr>
        <w:t>4.6.3 Buried and promoted concepts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4.7 Bridging concepts and the null-tested significance of integration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4.8 Thematic structure of 2013-2025</w:t>
      </w:r>
    </w:p>
    <w:p>
      <w:pPr>
        <w:pStyle w:val="Heading3"/>
      </w:pPr>
      <w:r>
        <w:rPr>
          <w:rFonts w:ascii="Calibri" w:hAnsi="Calibri"/>
          <w:color w:val="1F3B57"/>
          <w:sz w:val="22"/>
        </w:rPr>
        <w:t>4.8.1 Topic inventory and labels</w:t>
      </w:r>
    </w:p>
    <w:p>
      <w:pPr>
        <w:pStyle w:val="Heading3"/>
      </w:pPr>
      <w:r>
        <w:rPr>
          <w:rFonts w:ascii="Calibri" w:hAnsi="Calibri"/>
          <w:color w:val="1F3B57"/>
          <w:sz w:val="22"/>
        </w:rPr>
        <w:t>4.8.2 Noise cluster as genuine heterogeneity</w:t>
      </w:r>
    </w:p>
    <w:p>
      <w:pPr>
        <w:pStyle w:val="Heading3"/>
      </w:pPr>
      <w:r>
        <w:rPr>
          <w:rFonts w:ascii="Calibri" w:hAnsi="Calibri"/>
          <w:color w:val="1F3B57"/>
          <w:sz w:val="22"/>
        </w:rPr>
        <w:t>4.8.3 Topic stability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4.9 Thematic evolution (RQ2)</w:t>
      </w:r>
    </w:p>
    <w:p>
      <w:pPr>
        <w:pStyle w:val="Heading3"/>
      </w:pPr>
      <w:r>
        <w:rPr>
          <w:rFonts w:ascii="Calibri" w:hAnsi="Calibri"/>
          <w:color w:val="1F3B57"/>
          <w:sz w:val="22"/>
        </w:rPr>
        <w:t>4.9.1 Topic-by-period contingency structure</w:t>
      </w:r>
    </w:p>
    <w:p>
      <w:pPr>
        <w:pStyle w:val="Heading3"/>
      </w:pPr>
      <w:r>
        <w:rPr>
          <w:rFonts w:ascii="Calibri" w:hAnsi="Calibri"/>
          <w:color w:val="1F3B57"/>
          <w:sz w:val="22"/>
        </w:rPr>
        <w:t>4.9.2 Emerging, stable and declining themes</w:t>
      </w:r>
    </w:p>
    <w:p>
      <w:pPr>
        <w:pStyle w:val="Heading3"/>
      </w:pPr>
      <w:r>
        <w:rPr>
          <w:rFonts w:ascii="Calibri" w:hAnsi="Calibri"/>
          <w:color w:val="1F3B57"/>
          <w:sz w:val="22"/>
        </w:rPr>
        <w:t>4.9.3 The concept frontier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4.10 Governance, innovation and talent development as segregated pillars</w:t>
      </w:r>
    </w:p>
    <w:p>
      <w:pPr>
        <w:pStyle w:val="Heading3"/>
      </w:pPr>
      <w:r>
        <w:rPr>
          <w:rFonts w:ascii="Calibri" w:hAnsi="Calibri"/>
          <w:color w:val="1F3B57"/>
          <w:sz w:val="22"/>
        </w:rPr>
        <w:t>4.10.1 Pillar assignment and assignment confidence</w:t>
      </w:r>
    </w:p>
    <w:p>
      <w:pPr>
        <w:pStyle w:val="Heading3"/>
      </w:pPr>
      <w:r>
        <w:rPr>
          <w:rFonts w:ascii="Calibri" w:hAnsi="Calibri"/>
          <w:color w:val="1F3B57"/>
          <w:sz w:val="22"/>
        </w:rPr>
        <w:t>4.10.2 Boundary-crossing load against the null</w:t>
      </w:r>
    </w:p>
    <w:p>
      <w:pPr>
        <w:pStyle w:val="Heading3"/>
      </w:pPr>
      <w:r>
        <w:rPr>
          <w:rFonts w:ascii="Calibri" w:hAnsi="Calibri"/>
          <w:color w:val="1F3B57"/>
          <w:sz w:val="22"/>
        </w:rPr>
        <w:t>4.10.3 Supra-centrality and cross-pillar bridges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4.11 National systems and communities (RQ3)</w:t>
      </w:r>
    </w:p>
    <w:p>
      <w:pPr>
        <w:pStyle w:val="Heading3"/>
      </w:pPr>
      <w:r>
        <w:rPr>
          <w:rFonts w:ascii="Calibri" w:hAnsi="Calibri"/>
          <w:color w:val="1F3B57"/>
          <w:sz w:val="22"/>
        </w:rPr>
        <w:t>4.11.1 Which countries dominate the field</w:t>
      </w:r>
    </w:p>
    <w:p>
      <w:pPr>
        <w:pStyle w:val="Heading3"/>
      </w:pPr>
      <w:r>
        <w:rPr>
          <w:rFonts w:ascii="Calibri" w:hAnsi="Calibri"/>
          <w:color w:val="1F3B57"/>
          <w:sz w:val="22"/>
        </w:rPr>
        <w:t>4.11.2 Topic-mix differences across national systems</w:t>
      </w:r>
    </w:p>
    <w:p>
      <w:pPr>
        <w:pStyle w:val="Heading3"/>
      </w:pPr>
      <w:r>
        <w:rPr>
          <w:rFonts w:ascii="Calibri" w:hAnsi="Calibri"/>
          <w:color w:val="1F3B57"/>
          <w:sz w:val="22"/>
        </w:rPr>
        <w:t>4.11.3 Conceptual emphasis: what each system over-represents</w:t>
      </w:r>
    </w:p>
    <w:p>
      <w:pPr>
        <w:pStyle w:val="Heading1"/>
      </w:pPr>
      <w:r>
        <w:rPr>
          <w:rFonts w:ascii="Calibri" w:hAnsi="Calibri"/>
          <w:color w:val="1F3B57"/>
          <w:sz w:val="28"/>
        </w:rPr>
        <w:t>5. Discussion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5.1 What the intellectual structure of high-performance sport actually looks like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5.2 The field's structural concepts are invisible in its own framing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5.3 Segregation of the three pillars: the ecosystem framing is aspirational, not empirical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5.4 Bridging belongs to the system, not to any single pillar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5.5 National systems as differentiated research cultures rather than replicas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5.6 Why intellectual infrastructure and framing diverge: mechanisms and implications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5.7 Implications for sport policy practice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5.8 Implications for research design and theory building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5.9 Contribution to knowledge mapping methodology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5.10 Limitations</w:t>
      </w:r>
    </w:p>
    <w:p>
      <w:pPr>
        <w:pStyle w:val="Heading3"/>
      </w:pPr>
      <w:r>
        <w:rPr>
          <w:rFonts w:ascii="Calibri" w:hAnsi="Calibri"/>
          <w:color w:val="1F3B57"/>
          <w:sz w:val="22"/>
        </w:rPr>
        <w:t>5.10.1 Single database and single-query retrieval</w:t>
      </w:r>
    </w:p>
    <w:p>
      <w:pPr>
        <w:pStyle w:val="Heading3"/>
      </w:pPr>
      <w:r>
        <w:rPr>
          <w:rFonts w:ascii="Calibri" w:hAnsi="Calibri"/>
          <w:color w:val="1F3B57"/>
          <w:sz w:val="22"/>
        </w:rPr>
        <w:t>5.10.2 Corpus size</w:t>
      </w:r>
    </w:p>
    <w:p>
      <w:pPr>
        <w:pStyle w:val="Heading3"/>
      </w:pPr>
      <w:r>
        <w:rPr>
          <w:rFonts w:ascii="Calibri" w:hAnsi="Calibri"/>
          <w:color w:val="1F3B57"/>
          <w:sz w:val="22"/>
        </w:rPr>
        <w:t>5.10.3 English-language dominance and translation of abstracts</w:t>
      </w:r>
    </w:p>
    <w:p>
      <w:pPr>
        <w:pStyle w:val="Heading3"/>
      </w:pPr>
      <w:r>
        <w:rPr>
          <w:rFonts w:ascii="Calibri" w:hAnsi="Calibri"/>
          <w:color w:val="1F3B57"/>
          <w:sz w:val="22"/>
        </w:rPr>
        <w:t>5.10.4 Pillar assignment rests on prototype similarity</w:t>
      </w:r>
    </w:p>
    <w:p>
      <w:pPr>
        <w:pStyle w:val="Heading3"/>
      </w:pPr>
      <w:r>
        <w:rPr>
          <w:rFonts w:ascii="Calibri" w:hAnsi="Calibri"/>
          <w:color w:val="1F3B57"/>
          <w:sz w:val="22"/>
        </w:rPr>
        <w:t>5.10.5 Co-occurrence implies association, not causal structure</w:t>
      </w:r>
    </w:p>
    <w:p>
      <w:pPr>
        <w:pStyle w:val="Heading3"/>
      </w:pPr>
      <w:r>
        <w:rPr>
          <w:rFonts w:ascii="Calibri" w:hAnsi="Calibri"/>
          <w:color w:val="1F3B57"/>
          <w:sz w:val="22"/>
        </w:rPr>
        <w:t>5.10.6 Absence of an outcome variable prevents claims about performance effects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5.11 Future research</w:t>
      </w:r>
    </w:p>
    <w:p>
      <w:pPr>
        <w:pStyle w:val="Heading1"/>
      </w:pPr>
      <w:r>
        <w:rPr>
          <w:rFonts w:ascii="Calibri" w:hAnsi="Calibri"/>
          <w:color w:val="1F3B57"/>
          <w:sz w:val="28"/>
        </w:rPr>
        <w:t>6. Conclusion</w:t>
      </w:r>
    </w:p>
    <w:p>
      <w:pPr>
        <w:pStyle w:val="Heading1"/>
      </w:pPr>
      <w:r>
        <w:rPr>
          <w:rFonts w:ascii="Calibri" w:hAnsi="Calibri"/>
          <w:color w:val="1F3B57"/>
          <w:sz w:val="28"/>
        </w:rPr>
        <w:t>Declarations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Funding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Conflict of interest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Ethics approval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Data availability and code reproducibility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Author contributions (CRediT)</w:t>
      </w:r>
    </w:p>
    <w:p>
      <w:pPr>
        <w:pStyle w:val="Heading1"/>
      </w:pPr>
      <w:r>
        <w:rPr>
          <w:rFonts w:ascii="Calibri" w:hAnsi="Calibri"/>
          <w:color w:val="1F3B57"/>
          <w:sz w:val="28"/>
        </w:rPr>
        <w:t>References</w:t>
      </w:r>
    </w:p>
    <w:p>
      <w:pPr>
        <w:pStyle w:val="Heading1"/>
      </w:pPr>
      <w:r>
        <w:rPr>
          <w:rFonts w:ascii="Calibri" w:hAnsi="Calibri"/>
          <w:color w:val="1F3B57"/>
          <w:sz w:val="28"/>
        </w:rPr>
        <w:t>Tables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Table 1. Corpus construction and exclusion audit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Table 2. Concept-extraction filter cascade with drop counts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Table 3. SEMCON validation: benchmark, manual audit and over-merge screen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Table 4. Network topology and null-model comparison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Table 5. Communities with defining concepts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Table 6. Top bridging concepts with null-calibrated significance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Table 7. Topic profiles with c-TF-IDF and contrastive labels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Table 8. Temporal structure: topic-by-period counts, emergence and decline scores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Table 9. Three-pillar assignment, boundary crossing and supra-centrality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Table 10. National emphases (over-represented concept families, FDR-corrected)</w:t>
      </w:r>
    </w:p>
    <w:p>
      <w:pPr>
        <w:pStyle w:val="Heading1"/>
      </w:pPr>
      <w:r>
        <w:rPr>
          <w:rFonts w:ascii="Calibri" w:hAnsi="Calibri"/>
          <w:color w:val="1F3B57"/>
          <w:sz w:val="28"/>
        </w:rPr>
        <w:t>Figures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Figure 1. Analysis pipeline with null-model validation points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Figure 2. Query-string inflation against matched control terms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Figure 3. Encoder anisotropy before and after mean-centring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Figure 4. SEMCON threshold calibration: benchmark and manual audit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Figure 5. Concept co-occurrence network: communities and bridging concepts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Figure 6. Null-model validation of modularity and centrality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Figure 7. Concept stratification: title-layer versus full-text centrality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Figure 8. UMAP and HDBSCAN topic model with topic prevalence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Figure 9. Three-pillar multiplex and supra-centrality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Figure 10. Thematic evolution and the concept frontier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Figure 11. National research emphases and effect-size distribution</w:t>
      </w:r>
    </w:p>
    <w:p>
      <w:pPr>
        <w:pStyle w:val="Heading1"/>
      </w:pPr>
      <w:r>
        <w:rPr>
          <w:rFonts w:ascii="Calibri" w:hAnsi="Calibri"/>
          <w:color w:val="1F3B57"/>
          <w:sz w:val="28"/>
        </w:rPr>
        <w:t>Appendices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Appendix A. Full search string and Scopus query syntax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Appendix B. Complete concept-extraction filter cascade log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Appendix C. SEMCON audit benchmark: all adjudicated pairs and verdicts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Appendix D. Size-cap stability sweep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Appendix E. Louvain resolution sweep</w:t>
      </w:r>
    </w:p>
    <w:p>
      <w:pPr>
        <w:pStyle w:val="Heading2"/>
      </w:pPr>
      <w:r>
        <w:rPr>
          <w:rFonts w:ascii="Calibri" w:hAnsi="Calibri"/>
          <w:color w:val="1F3B57"/>
          <w:sz w:val="24"/>
        </w:rPr>
        <w:t>Appendix F. Complete cross-national test results (topic and family level)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