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3A6027E2" w:rsidR="00625872" w:rsidRPr="004326E2" w:rsidRDefault="00117513" w:rsidP="004326E2">
      <w:pPr>
        <w:pStyle w:val="Title"/>
        <w:jc w:val="center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Feedback Analysis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1775425F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89265B">
              <w:rPr>
                <w:szCs w:val="24"/>
              </w:rPr>
              <w:t>Feedback Analysis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E78D984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117513">
              <w:rPr>
                <w:szCs w:val="24"/>
              </w:rPr>
              <w:t>6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4BAC3434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3A4F19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0FA45D7C" w:rsidR="00625872" w:rsidRDefault="00FD7E10" w:rsidP="00023BD1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</w:p>
          <w:p w14:paraId="3503270C" w14:textId="2C95AC8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</w:t>
            </w:r>
            <w:r w:rsidR="006052E9">
              <w:rPr>
                <w:szCs w:val="24"/>
              </w:rPr>
              <w:t xml:space="preserve"> Evaluating the results of an advertisement</w:t>
            </w:r>
            <w:bookmarkStart w:id="0" w:name="_GoBack"/>
            <w:bookmarkEnd w:id="0"/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7A2E3D46" w:rsidR="00625872" w:rsidRPr="004326E2" w:rsidRDefault="00023BD1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 xml:space="preserve">          All influencers are being ranked based on their relevancy to the target product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637F81F" w:rsidR="00625872" w:rsidRPr="004326E2" w:rsidRDefault="00050D01" w:rsidP="003A4F19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</w:t>
            </w:r>
            <w:r w:rsidR="00023BD1">
              <w:rPr>
                <w:szCs w:val="24"/>
              </w:rPr>
              <w:t>y an internal request from RS core</w:t>
            </w:r>
            <w:r w:rsidR="0089265B">
              <w:rPr>
                <w:szCs w:val="24"/>
              </w:rPr>
              <w:t xml:space="preserve"> or on the expiration date of the request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5CCAA653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023BD1">
              <w:rPr>
                <w:szCs w:val="24"/>
              </w:rPr>
              <w:t>Data Aggregation</w:t>
            </w:r>
            <w:r w:rsidR="0089265B">
              <w:rPr>
                <w:szCs w:val="24"/>
              </w:rPr>
              <w:t>, Crawl Data</w:t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5C502358" w14:textId="77777777" w:rsidR="004326E2" w:rsidRDefault="0089265B" w:rsidP="0089265B">
            <w:pPr>
              <w:pStyle w:val="ListParagraph"/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Crawling the feedback data from social media</w:t>
            </w:r>
          </w:p>
          <w:p w14:paraId="4D9ED69F" w14:textId="77777777" w:rsidR="006052E9" w:rsidRDefault="0089265B" w:rsidP="006052E9">
            <w:pPr>
              <w:pStyle w:val="ListParagraph"/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Analyzing the feedbacks based on </w:t>
            </w:r>
            <w:r w:rsidR="006052E9">
              <w:rPr>
                <w:szCs w:val="24"/>
              </w:rPr>
              <w:t>system policy</w:t>
            </w:r>
          </w:p>
          <w:p w14:paraId="53B993B7" w14:textId="43FCE983" w:rsidR="006052E9" w:rsidRPr="006052E9" w:rsidRDefault="006052E9" w:rsidP="006052E9">
            <w:pPr>
              <w:pStyle w:val="ListParagraph"/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Passing the reports to Reporting module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463B6732" w:rsidR="00625872" w:rsidRPr="004326E2" w:rsidRDefault="00023BD1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Requests to underlying social media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0A33158C" w14:textId="1CB3597E" w:rsidR="00625872" w:rsidRPr="004326E2" w:rsidRDefault="00FD7E10" w:rsidP="006052E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1</w:t>
            </w:r>
            <w:r w:rsidRPr="004326E2">
              <w:rPr>
                <w:szCs w:val="24"/>
              </w:rPr>
              <w:t xml:space="preserve">. </w:t>
            </w:r>
            <w:r w:rsidR="006052E9">
              <w:rPr>
                <w:szCs w:val="24"/>
              </w:rPr>
              <w:t>No data to analyze (not necessarily no feedbacks)</w:t>
            </w:r>
            <w:r w:rsidR="00A66502">
              <w:rPr>
                <w:szCs w:val="24"/>
              </w:rPr>
              <w:t xml:space="preserve"> 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B61F1B"/>
    <w:multiLevelType w:val="hybridMultilevel"/>
    <w:tmpl w:val="E3E8DEDC"/>
    <w:lvl w:ilvl="0" w:tplc="A7364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23BD1"/>
    <w:rsid w:val="00050D01"/>
    <w:rsid w:val="00117513"/>
    <w:rsid w:val="003A4F19"/>
    <w:rsid w:val="004326E2"/>
    <w:rsid w:val="00566925"/>
    <w:rsid w:val="006052E9"/>
    <w:rsid w:val="00625872"/>
    <w:rsid w:val="0072237C"/>
    <w:rsid w:val="0089265B"/>
    <w:rsid w:val="00A66502"/>
    <w:rsid w:val="00A84274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paragraph" w:styleId="ListParagraph">
    <w:name w:val="List Paragraph"/>
    <w:basedOn w:val="Normal"/>
    <w:uiPriority w:val="72"/>
    <w:rsid w:val="0089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11</cp:revision>
  <dcterms:created xsi:type="dcterms:W3CDTF">2019-12-06T08:58:00Z</dcterms:created>
  <dcterms:modified xsi:type="dcterms:W3CDTF">2019-12-06T19:10:00Z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