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مهیار حدادها</w:t>
      </w:r>
      <w:r>
        <w:t xml:space="preserve">۱</w:t>
      </w:r>
      <w:r>
        <w:rPr>
          <w:rFonts w:hint="cs"/>
          <w:rtl/>
        </w:rPr>
        <w:t xml:space="preserve">، غزل مقاره‌زاده اصفهانی</w:t>
      </w:r>
      <w:r>
        <w:t xml:space="preserve">۱</w:t>
      </w:r>
      <w:r>
        <w:rPr>
          <w:rFonts w:hint="cs"/>
          <w:rtl/>
        </w:rPr>
        <w:t xml:space="preserve">، محمدرضا یزدچی</w:t>
      </w:r>
      <w:r>
        <w:t xml:space="preserve">۱،*</w:t>
      </w:r>
      <w:r>
        <w:rPr>
          <w:rFonts w:hint="cs"/>
          <w:rtl/>
        </w:rPr>
        <w:t xml:space="preserve">، داریوش شکری</w:t>
      </w:r>
      <w:r>
        <w:t xml:space="preserve">۲</w:t>
      </w:r>
      <w:r>
        <w:rPr>
          <w:rFonts w:hint="cs"/>
          <w:rtl/>
        </w:rPr>
        <w:t xml:space="preserve">، سید محمدعلی هاشمی‌پور</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گروه مهندسی پزشکی، دانشکده‌ی مهندسی، دانشگاه اصفهان، اصفهان، ایران</w:t>
      </w:r>
    </w:p>
    <w:p>
      <w:pPr>
        <w:pStyle w:val="Affiliations"/>
      </w:pPr>
      <w:r>
        <w:rPr>
          <w:rFonts w:hint="cs"/>
          <w:rtl/>
        </w:rPr>
        <w:t xml:space="preserve">۲ شرکت دارا ویرا آزما، مرکز رشد و کارآفرینیِ دانشگاه اصفهان / آزمایشگاه خصوصی نوبل، اصفهان، ایران</w:t>
      </w:r>
    </w:p>
    <w:p>
      <w:pPr>
        <w:pStyle w:val="Affiliations"/>
      </w:pPr>
      <w:r>
        <w:rPr>
          <w:rFonts w:hint="cs"/>
          <w:rtl/>
        </w:rPr>
        <w:t xml:space="preserve">۳ شرکت نیلگون سپهر سلامت، واحد تحقیق و توسعه، اصفهان، ایران</w:t>
      </w:r>
    </w:p>
    <w:p>
      <w:pPr>
        <w:pStyle w:val="Affiliations"/>
      </w:pPr>
      <w:r>
        <w:t xml:space="preserve">mahyarhaddadha@gmail.com, gh.mogharehzadeh@eng.ui.ac.ir, yazdchi@eng.ui.ac.ir, dariush.shokri61@yahoo.com, M.alihashemip@gmail.com</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ارزیابی کمّی روی یک دیتاستِ مرجعِ مستقل و کارشناسی‌شده (۱۱ عکس، ۹۳ دیسک) نشان می‌دهد: تشخیصِ دیسک F1=۰٫۹۸۴، خطای قطرِ هاله MAE=۵٫۵۰mm (بایاسِ −۰٫۵۳mm)، و خطای قطرِ دیسک MAE=۰٫۱۷mm؛ این نتایج روی سیستمی مستقل و مجزا نیز عیناً بازتولید شدند.</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w:t>
      </w:r>
      <w:r>
        <w:t xml:space="preserve">[2]</w:t>
      </w:r>
      <w:r>
        <w:rPr>
          <w:rFonts w:hint="cs"/>
          <w:rtl/>
        </w:rPr>
        <w:t xml:space="preserve">، ابزارهای مبتنی بر آستانه‌گذاریِ کلاسیک به‌همراه بازشناسی نوریِ کدِ چاپ‌شده‌ی روی دیسک مانند AntibiogramJ </w:t>
      </w:r>
      <w:r>
        <w:t xml:space="preserve">[3]</w:t>
      </w:r>
      <w:r>
        <w:rPr>
          <w:rFonts w:hint="cs"/>
          <w:rtl/>
        </w:rPr>
        <w:t xml:space="preserve">، و مقایسه‌ی چند روشِ تقسیم‌بندی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با توافقِ ۹۰ تا ۹۸ درصد در برابرِ اندازه‌گیریِ دستی </w:t>
      </w:r>
      <w:r>
        <w:t xml:space="preserve">[5]</w:t>
      </w:r>
      <w:r>
        <w:rPr>
          <w:rFonts w:hint="cs"/>
          <w:rtl/>
        </w:rPr>
        <w:t xml:space="preserve">، و ترکیبِ تحلیلِ رنگ با طبقه‌بندیِ یادگیری‌محور </w:t>
      </w:r>
      <w:r>
        <w:t xml:space="preserve">[6]</w:t>
      </w:r>
      <w:r>
        <w:rPr>
          <w:rFonts w:hint="cs"/>
          <w:rtl/>
        </w:rPr>
        <w:t xml:space="preserve">. این کارها نشان می‌دهند خودکارسازی مفید است، اما معمولاً به مجموعه‌داده‌ی برچسب‌خورده‌ی حجیم نیاز دارند یا برای شرایطِ تصویربرداریِ محدودی طراحی شده‌اند.</w:t>
      </w:r>
    </w:p>
    <w:p>
      <w:pPr>
        <w:pStyle w:val="Paragraph"/>
      </w:pPr>
      <w:r>
        <w:rPr>
          <w:rFonts w:hint="cs"/>
          <w:rtl/>
        </w:rPr>
        <w:t xml:space="preserve">در این مقاله یک پایپ‌لاین کاملاً کلاسیک بینایی ماشین ارائه می‌شود که از یک عکس ساده‌ی تلفن‌همراه، حتی با چند ظرف پتری هم‌زمان، ظرف(ها)، دیسک‌های آنتی‌بیوتیک، مرز هاله و رخدادهای غیرعادیِ داخل هاله (کارِ در حالِ انجام) را تشخیص می‌دهد. انتخاب رویکرد کلاسیک یک تصمیم طراحیِ آگاهانه است: (۱) به مجموعه‌داده‌ی برچسب‌خورده‌ی حجیم نیاز ندارد؛ (۲) تفسیرپذیر است—مهم برای کاربردِ آزمایشگاهیِ نیازمندِ قابلیتِ ممیزی؛ (۳) برای پیاده‌سازی روی سخت‌افزار سبک به ++C قابل‌ترجمه است؛ و (۴) پارامترها نسبی‌اند، پس بدون آموزشِ مجدد روی دوربین، نور و مقیاسِ متفاوت کار می‌کند.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مجموعه‌داده‌ی اصلی شامل هفتادوهشت عکس واقعی است که با دوربین تلفن‌همراه گرفته شده‌اند؛ هر عکس حاوی یک یا چند ظرف پتری است (اکثراً یک ظرف، بعضاً دو پتری). سند مرجع EUCAST (جدول‌های نقطه‌قطع نسخه‌ی ۱۶.۰ </w:t>
      </w:r>
      <w:r>
        <w:t xml:space="preserve">[7]</w:t>
      </w:r>
      <w:r>
        <w:rPr>
          <w:rFonts w:hint="cs"/>
          <w:rtl/>
        </w:rPr>
        <w:t xml:space="preserve">) برای بررسیِ روش استانداردِ خواندنِ مرز هاله استفاده شده (بخش ۴-۲)؛ پایپ‌لاین فقط قطر را گزارش می‌کند. برای ارزیابیِ کمّی (بخش ۳-۱)، یک زیرمجموعه‌ی مستقلِ ۱۱ عکس با حقیقتِ زمینیِ کارشناسی ساخته شد. جزئیاتِ ساختاریافته‌ی باقیِ نمونه‌ها [PLACEHOLDER: نوع باکتری، آنتی‌بیوتیک‌ها، شرایط انکوباسیون و محیط کشت] هنوز تکمیل نشده‌اند؛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جریان پردازش برای هر عکس این چهار مرحله را به‌ترتیب طی می‌کند: تشخیص ظرف(های) پتری (بخش ۲-۳)، تشخیص دیسک‌های آنتی‌بیوتیک با ادغام دو‌شاخه‌ای (بخش ۲-۴)، برازش و اصلاح مرز هاله‌ی بازدارندگی (بخش ۲-۵)، و تشخیص رخدادهای غیرعادی داخل هاله (بخش ۲-۶)؛ در پایان یک گزارش عددی برای هر دیسک تولید می‌شود. سه اصل طراحی در طول کل پایپ‌لاین رعایت شده: عدم استفاده از مقدار پیکسلی مطلق (هر پارامتر نسبت به قطر ظرف یا دیسک تعریف می‌شود)، قطعیت کامل (پیش‌نیاز ترجمه‌ی آینده به ++C)، و اعتبارسنجیِ هر تغییر روی چند عکسِ متنوع پیش از قطعی‌شدن، برای پرهیز از بیش‌برازش به یک نمونه. شکل ۲ این جریان را خلاصه می‌کند.</w:t>
      </w:r>
    </w:p>
    <w:p>
      <w:pPr>
        <w:pStyle w:val="FigurePosition"/>
      </w:pPr>
      <w:r>
        <w:rPr>
          <w:noProof/>
        </w:rPr>
        <w:drawing>
          <wp:inline distT="0" distB="0" distL="0" distR="0">
            <wp:extent cx="2952750" cy="392758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27581"/>
                    </a:xfrm>
                    <a:prstGeom prst="rect">
                      <a:avLst/>
                    </a:prstGeom>
                  </pic:spPr>
                </pic:pic>
              </a:graphicData>
            </a:graphic>
          </wp:inline>
        </w:drawing>
      </w:r>
    </w:p>
    <w:p>
      <w:pPr>
        <w:pStyle w:val="Caption"/>
      </w:pPr>
      <w:r>
        <w:rPr>
          <w:rFonts w:hint="cs"/>
          <w:rtl/>
        </w:rPr>
        <w:t xml:space="preserve">شکل ۲: نمودار کلی معماری پایپ‌لاین. ماژول‌های ۵ تا ۱۷ برای هر ظرف پتری به‌طور مستقل اجرا می‌شوند.</w:t>
      </w:r>
    </w:p>
    <w:p>
      <w:pPr>
        <w:pStyle w:val="Heading2"/>
      </w:pPr>
      <w:r>
        <w:rPr>
          <w:b/>
          <w:bCs/>
          <w:rFonts w:hint="cs"/>
          <w:rtl/>
        </w:rPr>
        <w:t xml:space="preserve">تشخیص ظرف پتری</w:t>
      </w:r>
    </w:p>
    <w:p>
      <w:pPr>
        <w:pStyle w:val="Paragraph"/>
      </w:pPr>
      <w:r>
        <w:rPr>
          <w:rFonts w:hint="cs"/>
          <w:rtl/>
        </w:rPr>
        <w:t xml:space="preserve">چالش اصلیِ این مرحله، آستانه‌گذاری در حضور نور ناهموار است </w:t>
      </w:r>
      <w:r>
        <w:t xml:space="preserve">[8]</w:t>
      </w:r>
      <w:r>
        <w:rPr>
          <w:rFonts w:hint="cs"/>
          <w:rtl/>
        </w:rPr>
        <w:t xml:space="preserve">. راه‌حل، تصحیحِ میدانِ روشنایی پیش از سگمنتیشنِ ناحیه‌ای با آستانه‌گذاریِ چندسطحیِ Otsu </w:t>
      </w:r>
      <w:r>
        <w:t xml:space="preserve">[9]</w:t>
      </w:r>
      <w:r>
        <w:rPr>
          <w:rFonts w:hint="cs"/>
          <w:rtl/>
        </w:rPr>
        <w:t xml:space="preserve"> است؛ هاف و کانتور تنها مسیرِ مکمل/تاییدکننده‌اند. تشخیصِ چندگانه (شکل ۱) با نگه‌داشتنِ کانتورهای معتبر و دو خودآزماییِ hypothesize-and-verify انجام می‌شود.</w:t>
      </w:r>
    </w:p>
    <w:p>
      <w:pPr>
        <w:pStyle w:val="FigurePosition"/>
      </w:pPr>
      <w:r>
        <w:rPr>
          <w:noProof/>
        </w:rPr>
        <w:drawing>
          <wp:inline distT="0" distB="0" distL="0" distR="0">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 به‌دست می‌آید: شاخه‌ی هاف به‌عنوانِ مسیرِ اصلی، و شاخه‌ی تحلیلِ بلاب/واترشد به‌عنوانِ مسیرِ پوششی برای دیسک‌های چسبیده. اعتبارسنجیِ هندسی روی اجتماعِ دو ماسک اجرا می‌شود تا شکستِ موضعیِ یک شاخه کل کاندید را نکِشد. پیش‌تر یک گیتِ دودوییِ سخت کاندیدهای معتبرِ نزدیکِ آستانه را حذف می‌کرد؛ این گیت با یک آستانه‌ی امتیازِ پیوسته جایگزین شد (جدول ۳). شکل ۳ تصویرِ ویژگیِ ورودی و نتیجه‌ی ادغام را نشان می‌دهد.</w:t>
      </w:r>
    </w:p>
    <w:p>
      <w:pPr>
        <w:pStyle w:val="FigurePosition"/>
      </w:pPr>
      <w:r>
        <w:rPr>
          <w:noProof/>
        </w:rPr>
        <w:drawing>
          <wp:inline distT="0" distB="0" distL="0" distR="0">
            <wp:extent cx="1605077" cy="172660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605077" cy="1726604"/>
                    </a:xfrm>
                    <a:prstGeom prst="rect">
                      <a:avLst/>
                    </a:prstGeom>
                  </pic:spPr>
                </pic:pic>
              </a:graphicData>
            </a:graphic>
          </wp:inline>
        </w:drawing>
      </w:r>
      <w:r>
        <w:t xml:space="preserve">  </w:t>
      </w:r>
      <w:r>
        <w:rPr>
          <w:noProof/>
        </w:rPr>
        <w:drawing>
          <wp:inline distT="0" distB="0" distL="0" distR="0">
            <wp:extent cx="1257672" cy="172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1257672" cy="1726604"/>
                    </a:xfrm>
                    <a:prstGeom prst="rect">
                      <a:avLst/>
                    </a:prstGeom>
                  </pic:spPr>
                </pic:pic>
              </a:graphicData>
            </a:graphic>
          </wp:inline>
        </w:drawing>
      </w:r>
    </w:p>
    <w:p>
      <w:pPr>
        <w:pStyle w:val="Caption"/>
      </w:pPr>
      <w:r>
        <w:rPr>
          <w:rFonts w:hint="cs"/>
          <w:rtl/>
        </w:rPr>
        <w:t xml:space="preserve">شکل ۳: تشخیص دیسک بر پایه‌ی ادغام دو‌شاخه‌ای. راست: تصویرِ ویژگیِ نورمال‌شده (ماژول ۵)، ورودیِ هر دو شاخه‌ی هاف/بلاب. چپ: نتیجه‌ی نهاییِ ادغام (ماژول ۱۴).</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مرحله‌ی پروژه بوده است. رویکردهای اولیه‌ای که با یک گیتِ وجود/عدم‌وجود تصمیم می‌گرفتند «آیا اصلاً هاله‌ای هست؟» رد شدند (جدول ۳)؛ معماریِ نهایی همیشه یک دایره‌ی هندسی برازش و اصلاح می‌کند، و جداگانه یک معیارِ آماری تعیین می‌کند که آیا برازش یک هاله‌ی واقعی نشان می‌دهد یا نویز (گزارش‌شده به‌صورتِ «تشکیل‌نشده»؛ بخش ۳-۱). شعاعِ پایه از یک پروفایلِ شعاعیِ تجمیعی و همه‌جهته به‌دست می‌آید؛ مرز، اولین شعاعی است که پس از آن مقادیر در یک باندِ نویز-محور حولِ پس‌زمینه باقی می‌مانند («همگراییِ دائمی به پس‌زمینه»)—هم‌راستا با تعریفِ رسمیِ EUCAST (بخش ۴-۲). سپس مرز جهت‌به‌جهت با یافتنِ قله‌ی گرادیانِ محلی بسط می‌یابد، محدود به دو سقفِ هندسیِ همیشه‌فعال (نیمسازِ عمود تا دیسکِ همسایه، و لبه‌ی پتری).</w:t>
      </w:r>
    </w:p>
    <w:p>
      <w:pPr>
        <w:pStyle w:val="Paragraph"/>
      </w:pPr>
      <w:r>
        <w:rPr>
          <w:rFonts w:hint="cs"/>
          <w:rtl/>
        </w:rPr>
        <w:t xml:space="preserve">در نهایت یک لایه‌ی اصلاحِ رخدادهای زاویه‌ایِ ایزوله—جایگزینیِ هر جهتی با شعاعِ بیش از ۱٫۲ برابرِ میانه‌ی همسایگیِ محلی—رخدادهایی نظیر «لنگرشدن به لبه‌ی پتری» را رفع می‌کند؛ این آستانه پس از بررسیِ خروجی روی چند عکسِ متنوع از ۱٫۴ به ۱٫۲ بازکالیبره شد (جدول ۳). شکل ۴ مرزِ پایه و مرزِ نهایی را مقایسه می‌کند.</w:t>
      </w:r>
    </w:p>
    <w:p>
      <w:pPr>
        <w:pStyle w:val="FigurePosition"/>
      </w:pPr>
      <w:r>
        <w:rPr>
          <w:noProof/>
        </w:rPr>
        <w:drawing>
          <wp:inline distT="0" distB="0" distL="0" distR="0">
            <wp:extent cx="1399609" cy="15195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1399609" cy="1519575"/>
                    </a:xfrm>
                    <a:prstGeom prst="rect">
                      <a:avLst/>
                    </a:prstGeom>
                  </pic:spPr>
                </pic:pic>
              </a:graphicData>
            </a:graphic>
          </wp:inline>
        </w:drawing>
      </w:r>
      <w:r>
        <w:t xml:space="preserve">  </w:t>
      </w:r>
      <w:r>
        <w:rPr>
          <w:noProof/>
        </w:rPr>
        <w:drawing>
          <wp:inline distT="0" distB="0" distL="0" distR="0">
            <wp:extent cx="1463140" cy="15195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1463140" cy="1519575"/>
                    </a:xfrm>
                    <a:prstGeom prst="rect">
                      <a:avLst/>
                    </a:prstGeom>
                  </pic:spPr>
                </pic:pic>
              </a:graphicData>
            </a:graphic>
          </wp:inline>
        </w:drawing>
      </w:r>
    </w:p>
    <w:p>
      <w:pPr>
        <w:pStyle w:val="Caption"/>
      </w:pPr>
      <w:r>
        <w:rPr>
          <w:rFonts w:hint="cs"/>
          <w:rtl/>
        </w:rPr>
        <w:t xml:space="preserve">شکل ۴: مرزِ هاله روی یک عکسِ واقعی. راست: دایره‌ی پایه با سقفِ هندسی (ماژول ۱۶). چپ: مرزِ نهایی پس از بسطِ per-angle و رفعِ رخدادهای زاویه‌ای (ماژول ۱۶.۶).</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از شکلِ واقعیِ نامتقارنِ مرزِ هاله گرفته می‌شود؛ سیگنالِ باقیمانده با آستانه‌ی robust مبتنی بر MAD دوتایی می‌شود. این ماژول یک کارِ در حالِ انجام است، تاکنون روی نمونه‌ی واقعیِ دارای حباب اعتبارسنجی نشده. خروجیِ نهاییِ گزارش برای هر دیسک شامل مختصاتِ مرکز، قطرِ دیسک و قطرِ هاله (یا «تشکیل‌نشده»)، بر حسبِ میلی‌متر، است.</w:t>
      </w:r>
    </w:p>
    <w:p>
      <w:pPr>
        <w:pStyle w:val="Heading1"/>
      </w:pPr>
      <w:r>
        <w:rPr>
          <w:b/>
          <w:bCs/>
          <w:rFonts w:hint="cs"/>
          <w:rtl/>
        </w:rPr>
        <w:t xml:space="preserve">نتایج</w:t>
      </w:r>
    </w:p>
    <w:p>
      <w:pPr>
        <w:pStyle w:val="Paragraph"/>
      </w:pPr>
      <w:r>
        <w:rPr>
          <w:rFonts w:hint="cs"/>
          <w:rtl/>
        </w:rPr>
        <w:t xml:space="preserve">شکل ۵ خروجیِ کاملِ پایپ‌لاین—تشخیص دیسک، مرز هاله، و رخداد حباب—را روی یک عکسِ واقعی (۹ دیسک روی یک ظرف) نشان می‌دهد. جدول ۱ گزارشِ عددیِ متناظر را فهرست می‌کند: قطرِ دیسک‌ها از ۴٫۹ تا ۷٫۷mm و قطرِ هاله‌ها از ۵٫۶ تا ۱۷٫۷mm متغیر است، شاملِ چند دیسکِ عملاً بدونِ هاله (مقاوم)؛ ماژول ۱۷ نیز یک رخدادِ حباب گزارش کرد.</w:t>
      </w:r>
    </w:p>
    <w:p>
      <w:pPr>
        <w:pStyle w:val="FigurePosition"/>
      </w:pPr>
      <w:r>
        <w:rPr>
          <w:noProof/>
        </w:rPr>
        <w:drawing>
          <wp:inline distT="0" distB="0" distL="0" distR="0">
            <wp:extent cx="821556" cy="112827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821556" cy="1128271"/>
                    </a:xfrm>
                    <a:prstGeom prst="rect">
                      <a:avLst/>
                    </a:prstGeom>
                  </pic:spPr>
                </pic:pic>
              </a:graphicData>
            </a:graphic>
          </wp:inline>
        </w:drawing>
      </w:r>
      <w:r>
        <w:t xml:space="preserve">  </w:t>
      </w:r>
      <w:r>
        <w:rPr>
          <w:noProof/>
        </w:rPr>
        <w:drawing>
          <wp:inline distT="0" distB="0" distL="0" distR="0">
            <wp:extent cx="1086617" cy="112827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7"/>
                    <a:stretch>
                      <a:fillRect/>
                    </a:stretch>
                  </pic:blipFill>
                  <pic:spPr>
                    <a:xfrm>
                      <a:off x="0" y="0"/>
                      <a:ext cx="1086617" cy="1128271"/>
                    </a:xfrm>
                    <a:prstGeom prst="rect">
                      <a:avLst/>
                    </a:prstGeom>
                  </pic:spPr>
                </pic:pic>
              </a:graphicData>
            </a:graphic>
          </wp:inline>
        </w:drawing>
      </w:r>
      <w:r>
        <w:t xml:space="preserve">  </w:t>
      </w:r>
      <w:r>
        <w:rPr>
          <w:noProof/>
        </w:rPr>
        <w:drawing>
          <wp:inline distT="0" distB="0" distL="0" distR="0">
            <wp:extent cx="864575" cy="112827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8"/>
                    <a:stretch>
                      <a:fillRect/>
                    </a:stretch>
                  </pic:blipFill>
                  <pic:spPr>
                    <a:xfrm>
                      <a:off x="0" y="0"/>
                      <a:ext cx="864575" cy="1128271"/>
                    </a:xfrm>
                    <a:prstGeom prst="rect">
                      <a:avLst/>
                    </a:prstGeom>
                  </pic:spPr>
                </pic:pic>
              </a:graphicData>
            </a:graphic>
          </wp:inline>
        </w:drawing>
      </w:r>
    </w:p>
    <w:p>
      <w:pPr>
        <w:pStyle w:val="Caption"/>
      </w:pPr>
      <w:r>
        <w:rPr>
          <w:rFonts w:hint="cs"/>
          <w:rtl/>
        </w:rPr>
        <w:t xml:space="preserve">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rPr>
          <w:cantSplit/>
          <w:tblHeader/>
        </w:trP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rPr>
          <w:cantSplit/>
        </w:trP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rPr>
          <w:cantSplit/>
        </w:trP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rPr>
          <w:cantSplit/>
        </w:trP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rPr>
          <w:cantSplit/>
        </w:trP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rPr>
          <w:cantSplit/>
        </w:trP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روی مجموعه‌ی ۷۸-عکسیِ اصلی، اعتبارسنجی عمدتاً کیفی/بصری بوده: هر تغییرِ الگوریتمی، پیش از قطعی‌شدن، روی چند عکسِ متنوع اجرا و overlay آن با بازرسیِ مستقیم تایید شده—از جمله رفعِ «پرتگاهِ ادغام» و رفعِ لنگرشدنِ مرزِ هاله (بخش ۲-۵)، که روی چند عکسِ چالشیِ پتریِ مربعی نیز بدونِ رگرسیون تکرار شد.</w:t>
      </w:r>
    </w:p>
    <w:p>
      <w:pPr>
        <w:pStyle w:val="Heading2"/>
      </w:pPr>
      <w:r>
        <w:rPr>
          <w:b/>
          <w:bCs/>
          <w:rFonts w:hint="cs"/>
          <w:rtl/>
        </w:rPr>
        <w:t xml:space="preserve">ارزیابی کمّی در برابر Ground Truth</w:t>
      </w:r>
    </w:p>
    <w:p>
      <w:pPr>
        <w:pStyle w:val="Paragraph"/>
      </w:pPr>
      <w:r>
        <w:rPr>
          <w:rFonts w:hint="cs"/>
          <w:rtl/>
        </w:rPr>
        <w:t xml:space="preserve">برای ارزیابیِ کمّی، دیسک‌های یک زیرمجموعه‌ی مستقلِ ۱۱ عکسی با یک لوکیتورِ Hough-circle مجزا از پایپ‌لاینِ تحتِ ارزیابی شماره‌گذاری شدند—تا خطای سیستماتیکِ خودِ سیستم در حقیقتِ زمینی جذب نشود—و سپس هر دیسک توسط یک کارشناسِ آزمایشگاه، روی نسخه‌ی چاپیِ عکس، خوانده و ثبت شد (۹۳ دیسک؛ ۶۴ دارایِ قطرِ هاله‌ی ثبت‌شده، ۲۹ بدونِ هاله). ارزیابی با اجرایِ بدون‌تغییرِ نوت‌بوک روی هر عکس انجام و دیسک‌ها صرفاً بر اساسِ نزدیک‌ترینِ موقعیت (نه ترتیبِ داخلیِ پایپ‌لاین) تطبیق داده شدند. جدول ۲ نتایج را خلاصه می‌کند (خطای قطر با MAE، بایاس، و Bland–Altman </w:t>
      </w:r>
      <w:r>
        <w:t xml:space="preserve">[11]</w:t>
      </w:r>
      <w:r>
        <w:rPr>
          <w:rFonts w:hint="cs"/>
          <w:rtl/>
        </w:rPr>
        <w:t xml:space="preserve">)؛ این نتایج روی یک سیستمِ کاملاً مجزا نیز عیناً بازتولید شدند.</w:t>
      </w:r>
    </w:p>
    <w:p>
      <w:pPr>
        <w:pStyle w:val="TableTitle"/>
      </w:pPr>
      <w:r>
        <w:rPr>
          <w:rFonts w:hint="cs"/>
          <w:rtl/>
        </w:rPr>
        <w:t xml:space="preserve">جدول ۲: نتایجِ ارزیابیِ کمّی در برابرِ حقیقتِ زمینیِ کارشناسی (۱۱ عکس، ۹۳ دیسک).</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900"/>
      </w:tblGrid>
      <w:tr>
        <w:trPr>
          <w:cantSplit/>
          <w:tblHeader/>
        </w:trPr>
        <w:tc>
          <w:tcPr>
            <w:tcW w:w="2700" w:type="dxa"/>
            <w:shd w:val="clear" w:color="auto" w:fill="D9D9D9"/>
            <w:vAlign w:val="center"/>
          </w:tcPr>
          <w:p>
            <w:pPr>
              <w:bidi/>
              <w:jc w:val="center"/>
            </w:pPr>
            <w:r>
              <w:rPr>
                <w:sz w:val="15"/>
                <w:szCs w:val="15"/>
                <w:rFonts w:hint="cs"/>
                <w:rtl/>
              </w:rPr>
              <w:t xml:space="preserve">معیار</w:t>
            </w:r>
          </w:p>
        </w:tc>
        <w:tc>
          <w:tcPr>
            <w:tcW w:w="1900" w:type="dxa"/>
            <w:shd w:val="clear" w:color="auto" w:fill="D9D9D9"/>
            <w:vAlign w:val="center"/>
          </w:tcPr>
          <w:p>
            <w:pPr>
              <w:bidi/>
              <w:jc w:val="center"/>
            </w:pPr>
            <w:r>
              <w:rPr>
                <w:sz w:val="15"/>
                <w:szCs w:val="15"/>
                <w:rFonts w:hint="cs"/>
                <w:rtl/>
              </w:rPr>
              <w:t xml:space="preserve">مقدار</w:t>
            </w:r>
          </w:p>
        </w:tc>
      </w:tr>
      <w:tr>
        <w:trPr>
          <w:cantSplit/>
        </w:trPr>
        <w:tc>
          <w:tcPr>
            <w:tcW w:w="2700" w:type="dxa"/>
            <w:vAlign w:val="center"/>
          </w:tcPr>
          <w:p>
            <w:pPr>
              <w:bidi/>
              <w:jc w:val="center"/>
            </w:pPr>
            <w:r>
              <w:rPr>
                <w:sz w:val="15"/>
                <w:szCs w:val="15"/>
                <w:rFonts w:hint="cs"/>
                <w:rtl/>
              </w:rPr>
              <w:t xml:space="preserve">تشخیصِ ظرفِ پتری (۱۱ عکس)</w:t>
            </w:r>
          </w:p>
        </w:tc>
        <w:tc>
          <w:tcPr>
            <w:tcW w:w="1900" w:type="dxa"/>
            <w:vAlign w:val="center"/>
          </w:tcPr>
          <w:p>
            <w:pPr>
              <w:bidi/>
              <w:jc w:val="center"/>
            </w:pPr>
            <w:r>
              <w:rPr>
                <w:sz w:val="15"/>
                <w:szCs w:val="15"/>
                <w:rFonts w:hint="cs"/>
                <w:rtl/>
              </w:rPr>
              <w:t xml:space="preserve">۱۱/۱۱ (۱۰۰٪)</w:t>
            </w:r>
          </w:p>
        </w:tc>
      </w:tr>
      <w:tr>
        <w:trPr>
          <w:cantSplit/>
        </w:trPr>
        <w:tc>
          <w:tcPr>
            <w:tcW w:w="2700" w:type="dxa"/>
            <w:vAlign w:val="center"/>
          </w:tcPr>
          <w:p>
            <w:pPr>
              <w:bidi/>
              <w:jc w:val="center"/>
            </w:pPr>
            <w:r>
              <w:rPr>
                <w:sz w:val="15"/>
                <w:szCs w:val="15"/>
                <w:rFonts w:hint="cs"/>
                <w:rtl/>
              </w:rPr>
              <w:t xml:space="preserve">تشخیصِ دیسک: Precision / Recall / F1 (۹۳ دیسک)</w:t>
            </w:r>
          </w:p>
        </w:tc>
        <w:tc>
          <w:tcPr>
            <w:tcW w:w="1900" w:type="dxa"/>
            <w:vAlign w:val="center"/>
          </w:tcPr>
          <w:p>
            <w:pPr>
              <w:bidi/>
              <w:jc w:val="center"/>
            </w:pPr>
            <w:r>
              <w:rPr>
                <w:sz w:val="15"/>
                <w:szCs w:val="15"/>
                <w:rFonts w:hint="cs"/>
                <w:rtl/>
              </w:rPr>
              <w:t xml:space="preserve">۰٫۹۸۹ / ۰٫۹۷۸ / ۰٫۹۸۴</w:t>
            </w:r>
          </w:p>
        </w:tc>
      </w:tr>
      <w:tr>
        <w:trPr>
          <w:cantSplit/>
        </w:trPr>
        <w:tc>
          <w:tcPr>
            <w:tcW w:w="2700" w:type="dxa"/>
            <w:vAlign w:val="center"/>
          </w:tcPr>
          <w:p>
            <w:pPr>
              <w:bidi/>
              <w:jc w:val="center"/>
            </w:pPr>
            <w:r>
              <w:rPr>
                <w:sz w:val="15"/>
                <w:szCs w:val="15"/>
                <w:rFonts w:hint="cs"/>
                <w:rtl/>
              </w:rPr>
              <w:t xml:space="preserve">حضورِ هاله: Accuracy / Precision / Recall (n=۹۱)</w:t>
            </w:r>
          </w:p>
        </w:tc>
        <w:tc>
          <w:tcPr>
            <w:tcW w:w="1900" w:type="dxa"/>
            <w:vAlign w:val="center"/>
          </w:tcPr>
          <w:p>
            <w:pPr>
              <w:bidi/>
              <w:jc w:val="center"/>
            </w:pPr>
            <w:r>
              <w:rPr>
                <w:sz w:val="15"/>
                <w:szCs w:val="15"/>
                <w:rFonts w:hint="cs"/>
                <w:rtl/>
              </w:rPr>
              <w:t xml:space="preserve">۰٫۷۸۰ / ۰٫۸۰۳ / ۰٫۹۰۵</w:t>
            </w:r>
          </w:p>
        </w:tc>
      </w:tr>
      <w:tr>
        <w:trPr>
          <w:cantSplit/>
        </w:trPr>
        <w:tc>
          <w:tcPr>
            <w:tcW w:w="2700" w:type="dxa"/>
            <w:vAlign w:val="center"/>
          </w:tcPr>
          <w:p>
            <w:pPr>
              <w:bidi/>
              <w:jc w:val="center"/>
            </w:pPr>
            <w:r>
              <w:rPr>
                <w:sz w:val="15"/>
                <w:szCs w:val="15"/>
                <w:rFonts w:hint="cs"/>
                <w:rtl/>
              </w:rPr>
              <w:t xml:space="preserve">قطرِ هاله: MAE / بایاس / حدودِ توافقِ ۹۵٪ (n=۵۷)</w:t>
            </w:r>
          </w:p>
        </w:tc>
        <w:tc>
          <w:tcPr>
            <w:tcW w:w="1900" w:type="dxa"/>
            <w:vAlign w:val="center"/>
          </w:tcPr>
          <w:p>
            <w:pPr>
              <w:bidi/>
              <w:jc w:val="center"/>
            </w:pPr>
            <w:r>
              <w:rPr>
                <w:sz w:val="15"/>
                <w:szCs w:val="15"/>
                <w:rFonts w:hint="cs"/>
                <w:rtl/>
              </w:rPr>
              <w:t xml:space="preserve">۵٫۵۰ / −۰٫۵۳ / [−۱۶٫۱،+۱۵٫۱] mm</w:t>
            </w:r>
          </w:p>
        </w:tc>
      </w:tr>
      <w:tr>
        <w:trPr>
          <w:cantSplit/>
        </w:trPr>
        <w:tc>
          <w:tcPr>
            <w:tcW w:w="2700" w:type="dxa"/>
            <w:vAlign w:val="center"/>
          </w:tcPr>
          <w:p>
            <w:pPr>
              <w:bidi/>
              <w:jc w:val="center"/>
            </w:pPr>
            <w:r>
              <w:rPr>
                <w:sz w:val="15"/>
                <w:szCs w:val="15"/>
                <w:rFonts w:hint="cs"/>
                <w:rtl/>
              </w:rPr>
              <w:t xml:space="preserve">قطرِ دیسک (خودسازگاری): MAE / بایاس (n=۹۱)</w:t>
            </w:r>
          </w:p>
        </w:tc>
        <w:tc>
          <w:tcPr>
            <w:tcW w:w="1900" w:type="dxa"/>
            <w:vAlign w:val="center"/>
          </w:tcPr>
          <w:p>
            <w:pPr>
              <w:bidi/>
              <w:jc w:val="center"/>
            </w:pPr>
            <w:r>
              <w:rPr>
                <w:sz w:val="15"/>
                <w:szCs w:val="15"/>
                <w:rFonts w:hint="cs"/>
                <w:rtl/>
              </w:rPr>
              <w:t xml:space="preserve">۰٫۱۷ / ۰٫۰۰ mm</w:t>
            </w:r>
          </w:p>
        </w:tc>
      </w:tr>
    </w:tbl>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 جدول ۳ مهم‌ترین طراحی‌های ردشده، دلیلِ ردشدن هرکدام، و طراحیِ نهاییِ جایگزین را خلاصه می‌کند؛ این رد‌شدن‌ها خودشان محتوای علمیِ معتبری‌اند.</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۳: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rPr>
          <w:cantSplit/>
          <w:tblHeader/>
        </w:trP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rPr>
          <w:cantSplit/>
        </w:trP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rPr>
          <w:cantSplit/>
        </w:trP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(DT مستقل) + گیتِ سخت/دودویی + تاییدِ ظاهریِ مستقل</w:t>
            </w:r>
          </w:p>
        </w:tc>
        <w:tc>
          <w:tcPr>
            <w:tcW w:w="3200" w:type="dxa"/>
            <w:vAlign w:val="center"/>
          </w:tcPr>
          <w:p>
            <w:pPr>
              <w:bidi/>
              <w:jc w:val="center"/>
            </w:pPr>
            <w:r>
              <w:rPr>
                <w:sz w:val="15"/>
                <w:szCs w:val="15"/>
                <w:rFonts w:hint="cs"/>
                <w:rtl/>
              </w:rPr>
              <w:t xml:space="preserve">DT مستقل ناسازگار با مقیاس بود؛ گیت و تاییدِ ظاهری کاندیدهای معتبر را کاذب رد می‌کردند</w:t>
            </w:r>
          </w:p>
        </w:tc>
        <w:tc>
          <w:tcPr>
            <w:tcW w:w="2438" w:type="dxa"/>
            <w:vAlign w:val="center"/>
          </w:tcPr>
          <w:p>
            <w:pPr>
              <w:bidi/>
              <w:jc w:val="center"/>
            </w:pPr>
            <w:r>
              <w:rPr>
                <w:sz w:val="15"/>
                <w:szCs w:val="15"/>
                <w:rFonts w:hint="cs"/>
                <w:rtl/>
              </w:rPr>
              <w:t xml:space="preserve">ادغامِ دوشاخه‌ای (DT فقط ابزار)؛ تصمیم فقط بر پایه‌ی امتیازِ پیوسته</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گیتِ وجود/عدم‌وجود (۳ رویکرد) + GrabCut </w:t>
            </w:r>
            <w:r>
              <w:t xml:space="preserve">[10]</w:t>
            </w:r>
            <w:r>
              <w:rPr>
                <w:rFonts w:hint="cs"/>
                <w:rtl/>
              </w:rPr>
              <w:t xml:space="preserve"> + برازشِ سیگموئید</w:t>
            </w:r>
          </w:p>
        </w:tc>
        <w:tc>
          <w:tcPr>
            <w:tcW w:w="3200" w:type="dxa"/>
            <w:vAlign w:val="center"/>
          </w:tcPr>
          <w:p>
            <w:pPr>
              <w:bidi/>
              <w:jc w:val="center"/>
            </w:pPr>
            <w:r>
              <w:rPr>
                <w:sz w:val="15"/>
                <w:szCs w:val="15"/>
                <w:rFonts w:hint="cs"/>
                <w:rtl/>
              </w:rPr>
              <w:t xml:space="preserve">یا هاله‌های واقعی را حذف/نویز را می‌پذیرفتند، یا بدونِ لبه‌ی قوی نشتی/تیغه‌ی کاذب تولید می‌کردند</w:t>
            </w:r>
          </w:p>
        </w:tc>
        <w:tc>
          <w:tcPr>
            <w:tcW w:w="2438" w:type="dxa"/>
            <w:vAlign w:val="center"/>
          </w:tcPr>
          <w:p>
            <w:pPr>
              <w:bidi/>
              <w:jc w:val="center"/>
            </w:pPr>
            <w:r>
              <w:rPr>
                <w:sz w:val="15"/>
                <w:szCs w:val="15"/>
                <w:rFonts w:hint="cs"/>
                <w:rtl/>
              </w:rPr>
              <w:t xml:space="preserve">حذفِ گیتِ وجود؛ پروفایلِ شعاعیِ تجمیعی + همگراییِ دائمی + بسطِ per-angle</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 سقفِ EUCAST</w:t>
            </w:r>
          </w:p>
        </w:tc>
        <w:tc>
          <w:tcPr>
            <w:tcW w:w="3200" w:type="dxa"/>
            <w:vAlign w:val="center"/>
          </w:tcPr>
          <w:p>
            <w:pPr>
              <w:bidi/>
              <w:jc w:val="center"/>
            </w:pPr>
            <w:r>
              <w:rPr>
                <w:sz w:val="15"/>
                <w:szCs w:val="15"/>
                <w:rFonts w:hint="cs"/>
                <w:rtl/>
              </w:rPr>
              <w:t xml:space="preserve">نویزِ per-arc بالاتر از پروفایلِ تجمیعی؛ استانداردِ عمومیِ فاصله‌ی بین‌دیسکی در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EUCAST </w:t>
      </w:r>
      <w:r>
        <w:t xml:space="preserve">[7]</w:t>
      </w:r>
      <w:r>
        <w:rPr>
          <w:rFonts w:hint="cs"/>
          <w:rtl/>
        </w:rPr>
        <w:t xml:space="preserve"> مرزِ هاله را «نقطه‌ی نمایانگرِ عدمِ‌رشد» تعریف می‌کند—دقیقاً همان چیزی که معیارِ «همگراییِ دائمی به پس‌زمینه»ی این پایپ‌لاین (بخش ۲-۵) به‌صورت آماری مدل می‌کند. با این حال، روشِ استانداردِ خواندن (از پشتِ پتری) با روشِ عکس‌برداریِ این مجموعه‌داده (نورِ مستقیم) یکسان نیست؛ این عدمِ‌تطابق می‌تواند توضیح‌دهنده‌ی بخشی از رخدادهای موضعیِ نویزی باشد.</w:t>
      </w:r>
    </w:p>
    <w:p>
      <w:pPr>
        <w:pStyle w:val="Heading2"/>
      </w:pPr>
      <w:r>
        <w:rPr>
          <w:b/>
          <w:bCs/>
          <w:rFonts w:hint="cs"/>
          <w:rtl/>
        </w:rPr>
        <w:t xml:space="preserve">محدودیت‌ها</w:t>
      </w:r>
    </w:p>
    <w:p>
      <w:pPr>
        <w:pStyle w:val="Paragraph"/>
      </w:pPr>
      <w:r>
        <w:rPr>
          <w:rFonts w:hint="cs"/>
          <w:rtl/>
        </w:rPr>
        <w:t xml:space="preserve">حجمِ نمونه‌ی ارزیابیِ کمّی (۱۱ عکس، ۹۳ دیسک) محدود است—توصیفِ اولیه‌ی دقت، نه اعتبارسنجیِ قطعی. خطایِ قطرِ هاله متوسط است (MAE=۵٫۵mm، عمدتاً نشتِ سیگنال/vignetting)، و آستانه‌ی گیتِ حضور Recall را به‌نفعِ Precision معامله می‌کند. ماژولِ تشخیصِ پتری روی یک عکسِ خاص همچنان دچارِ تقسیمِ کاذب است (عمداً رفع‌نشده)؛ ماژولِ حباب کارِ در حالِ انجام است؛ طبقه‌بندیِ EUCAST پیاده‌سازی نشده؛ و جزئیاتِ ترکیبِ نمونه‌ها مستند نشده‌اند.</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تشخیص می‌دهد؛ طراحیِ نهایی حاصلِ چندین دورِ آزمایشِ تجربیِ مقایسه‌ای است (جدول ۳)، و معیارِ نهاییِ مرزِ هاله با تعریفِ رسمیِ EUCAST هم‌راستاست. ارزیابیِ کمّی در برابرِ حقیقتِ زمینیِ کارشناسی (بخش ۳-۱) F1=۰٫۹۸۴ برایِ تشخیصِ دیسک و MAE=۵٫۵۰mm برایِ قطرِ هاله نشان داد، با بازتولیدِ مستقل روی سیستمی مجزا. کارِ آینده شاملِ بزرگ‌ترکردنِ دیتاستِ مرجع، طبقه‌بندیِ حساس/متوسط/مقاوم بر اساسِ EUCAST، بهبودِ توازنِ Recall/Precision در تشخیصِ حضورِ هاله، تکمیلِ ماژولِ حباب، و ترجمه‌ی پایپ‌لاین به ++C خواهد بود.</w:t>
      </w:r>
    </w:p>
    <w:p>
      <w:pPr>
        <w:sectPr>
          <w:type w:val="continuous"/>
          <w:pgSz w:w="11906" w:h="16838" w:code="9"/>
          <w:pgMar w:top="1418" w:right="1134" w:bottom="1418" w:left="1134" w:header="851" w:footer="567" w:gutter="0"/>
          <w:cols w:num="2" w:space="340"/>
          <w:bidi/>
          <w:rtlGutter/>
        </w:sectPr>
      </w:pP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 Biol. Med., vol. 24, no. 3, pp. 179–188, 1994.</w:t>
      </w:r>
    </w:p>
    <w:p>
      <w:pPr>
        <w:pStyle w:val="References"/>
      </w:pPr>
      <w:r>
        <w:t xml:space="preserve">H. S. Bhargav et al., “Measurement of the zone of inhibition of an antibiotic,” in Proc. IEEE 6th Int. Conf. Advanced Computing (IACC), 2016, pp. 409–414.</w:t>
      </w:r>
    </w:p>
    <w:p>
      <w:pPr>
        <w:pStyle w:val="References"/>
      </w:pPr>
      <w:r>
        <w:t xml:space="preserve">C. A. Alonso et al., “AntibiogramJ: A tool for analysing images from disk diffusion tests,” Comput. Methods Programs Biomed., vol. 143, pp. 159–169, 2017.</w:t>
      </w:r>
    </w:p>
    <w:p>
      <w:pPr>
        <w:pStyle w:val="References"/>
      </w:pPr>
      <w:r>
        <w:t xml:space="preserve">B. K. Priya et al., “Automatic inhibition zone diameter measurement for disc diffusion test using image segmentation,” IETE J. Res., vol. 69, no. 8, pp. 5708–5725, 2023.</w:t>
      </w:r>
    </w:p>
    <w:p>
      <w:pPr>
        <w:pStyle w:val="References"/>
      </w:pPr>
      <w:r>
        <w:t xml:space="preserve">M. Pascucci et al., “AI-based mobile application to fight antibiotic resistance,” Nat. Commun., vol. 12, art. no. 1173, 2021.</w:t>
      </w:r>
    </w:p>
    <w:p>
      <w:pPr>
        <w:pStyle w:val="References"/>
      </w:pPr>
      <w:r>
        <w:t xml:space="preserve">E. Gullu, S. Bora, and B. Beynek, “Exploiting image processing and AI techniques for the determination of antimicrobial susceptibility,” Appl. Sci.,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 Syst., Man, Cybern., vol. 9, no. 1, pp. 62–66, 1979.</w:t>
      </w:r>
    </w:p>
    <w:p>
      <w:pPr>
        <w:pStyle w:val="References"/>
      </w:pPr>
      <w:r>
        <w:t xml:space="preserve">C. Rother, V. Kolmogorov, and A. Blake, “‘GrabCut’: Interactive foreground extraction using iterated graph cuts,” ACM Trans. Graph., vol. 23, no. 3, pp. 309–314, 2004.</w:t>
      </w:r>
    </w:p>
    <w:p>
      <w:pPr>
        <w:pStyle w:val="References"/>
      </w:pPr>
      <w:r>
        <w:t xml:space="preserve">J. M. Bland and D. G. Altman, “Statistical methods for assessing agreement between two methods of clinical measurement,” The Lancet, vol. 327, no. 8476, pp. 307–310, 1986.</w:t>
      </w:r>
    </w:p>
    <w:p>
      <w:pPr>
        <w:sectPr>
          <w:type w:val="continuous"/>
          <w:pgSz w:w="11906" w:h="16838" w:code="9"/>
          <w:pgMar w:top="1418" w:right="1134" w:bottom="1418" w:left="1134" w:header="851" w:footer="567" w:gutter="0"/>
          <w:cols w:num="1"/>
          <w:bidi/>
          <w:rtlGutter/>
        </w:sectPr>
      </w:pP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