
<file path=[Content_Types].xml><?xml version="1.0" encoding="utf-8"?>
<Types xmlns="http://schemas.openxmlformats.org/package/2006/content-types">
  <Default Extension="bin" ContentType="application/vnd.openxmlformats-officedocument.oleObject"/>
  <Default Extension="png" ContentType="image/png"/>
  <Default Extension="jp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rPr>
          <w:b/>
          <w:bCs/>
          <w:rFonts w:hint="cs"/>
          <w:rtl/>
        </w:rPr>
        <w:t xml:space="preserve">اندازه‌گیری تفسیرپذیر و خودکار آنتی‌بایوگرام دیسک-دیفیوژن از تصاویر تلفن همراه با بینایی ماشین کلاسیک</w:t>
      </w:r>
    </w:p>
    <w:p>
      <w:pPr>
        <w:pStyle w:val="Authors"/>
      </w:pPr>
      <w:r>
        <w:rPr>
          <w:rFonts w:hint="cs"/>
          <w:rtl/>
        </w:rPr>
        <w:t xml:space="preserve">مهیار حدادها</w:t>
      </w:r>
      <w:r>
        <w:t xml:space="preserve">۱</w:t>
      </w:r>
      <w:r>
        <w:rPr>
          <w:rFonts w:hint="cs"/>
          <w:rtl/>
        </w:rPr>
        <w:t xml:space="preserve">، محمدرضا یزدچی</w:t>
      </w:r>
      <w:r>
        <w:t xml:space="preserve">۲،*</w:t>
      </w:r>
      <w:r>
        <w:rPr>
          <w:rFonts w:hint="cs"/>
          <w:rtl/>
        </w:rPr>
        <w:t xml:space="preserve">، [PLACEHOLDER: مقاره‌زاده]</w:t>
      </w:r>
      <w:r>
        <w:t xml:space="preserve">۳</w:t>
      </w:r>
      <w:r>
        <w:rPr>
          <w:rFonts w:hint="cs"/>
          <w:rtl/>
        </w:rPr>
        <w:t xml:space="preserve">، [PLACEHOLDER: هاشمی‌پور]</w:t>
      </w:r>
      <w:r>
        <w:t xml:space="preserve">۴</w:t>
      </w:r>
      <w:r>
        <w:rPr>
          <w:rFonts w:hint="cs"/>
          <w:rtl/>
        </w:rPr>
        <w:t xml:space="preserve">، [PLACEHOLDER: دکتر شکری]</w:t>
      </w:r>
      <w:r>
        <w:t xml:space="preserve">۵</w:t>
      </w:r>
    </w:p>
    <w:p>
      <w:pPr>
        <w:pStyle w:val="Authors"/>
      </w:pPr>
      <w:r>
        <w:rPr>
          <w:rFonts w:hint="cs"/>
          <w:rtl/>
        </w:rPr>
        <w:t xml:space="preserve">(نویسنده‌ی مسئول با علامت * مشخص شده است — ترتیب و وضعیتِ نویسنده‌ی مسئول در میانِ نویسندگانِ ۳ تا ۵ هنوز تاییدنشده است)</w:t>
      </w:r>
    </w:p>
    <w:p>
      <w:pPr>
        <w:pStyle w:val="Affiliations"/>
      </w:pPr>
      <w:r>
        <w:rPr>
          <w:rFonts w:hint="cs"/>
          <w:rtl/>
        </w:rPr>
        <w:t xml:space="preserve">۱ [PLACEHOLDER: گروه آموزشی و دانشگاه/مؤسسه‌ی نویسنده‌ی اول]</w:t>
      </w:r>
    </w:p>
    <w:p>
      <w:pPr>
        <w:pStyle w:val="Affiliations"/>
      </w:pPr>
      <w:r>
        <w:rPr>
          <w:rFonts w:hint="cs"/>
          <w:rtl/>
        </w:rPr>
        <w:t xml:space="preserve">۲ [PLACEHOLDER: گروه آموزشی و دانشگاه/مؤسسه‌ی نویسنده‌ی مسئول]</w:t>
      </w:r>
    </w:p>
    <w:p>
      <w:pPr>
        <w:pStyle w:val="Affiliations"/>
      </w:pPr>
      <w:r>
        <w:rPr>
          <w:rFonts w:hint="cs"/>
          <w:rtl/>
        </w:rPr>
        <w:t xml:space="preserve">۳ [PLACEHOLDER: وابستگی سازمانیِ مقاره‌زاده]</w:t>
      </w:r>
    </w:p>
    <w:p>
      <w:pPr>
        <w:pStyle w:val="Affiliations"/>
      </w:pPr>
      <w:r>
        <w:rPr>
          <w:rFonts w:hint="cs"/>
          <w:rtl/>
        </w:rPr>
        <w:t xml:space="preserve">۴ [PLACEHOLDER: وابستگی سازمانیِ هاشمی‌پور]</w:t>
      </w:r>
    </w:p>
    <w:p>
      <w:pPr>
        <w:pStyle w:val="Affiliations"/>
      </w:pPr>
      <w:r>
        <w:rPr>
          <w:rFonts w:hint="cs"/>
          <w:rtl/>
        </w:rPr>
        <w:t xml:space="preserve">۵ [PLACEHOLDER: وابستگی سازمانیِ دکتر شکری]</w:t>
      </w:r>
    </w:p>
    <w:p>
      <w:pPr>
        <w:pStyle w:val="Affiliations"/>
      </w:pPr>
      <w:r>
        <w:t xml:space="preserve">[PLACEHOLDER: پست الکترونیکی نویسندگان به ترتیب شماره‌ی اختصاص‌یافته]</w:t>
      </w:r>
    </w:p>
    <w:p>
      <w:pPr>
        <w:pStyle w:val="Abstract"/>
      </w:pPr>
      <w:r>
        <w:rPr>
          <w:b/>
          <w:bCs/>
          <w:rFonts w:hint="cs"/>
          <w:rtl/>
        </w:rPr>
        <w:t xml:space="preserve">چکیده - </w:t>
      </w:r>
      <w:r>
        <w:rPr>
          <w:rFonts w:hint="cs"/>
          <w:rtl/>
        </w:rPr>
        <w:t xml:space="preserve">در آنتی‌بایوگرام دیسک-دیفیوژن (کربی-باوئر)، قطر هاله‌ی عدم‌رشد اطراف هر دیسک آنتی‌بیوتیکی معمولاً به‌صورت دستی و با کولیس اندازه‌گیری می‌شود؛ روشی کند، وابسته به مهارت اپراتور و مستعد خطا. در این مقاله یک پایپ‌لاین کاملاً کلاسیک بینایی ماشین (بدون یادگیری ماشین) ارائه می‌شود که از روی یک عکس ساده‌ی تلفن‌همراه از یک یا چند ظرف پتری، به‌ترتیب ظرف(ها)، دیسک‌های آنتی‌بیوتیک، مرز هاله‌ی بازدارندگی و رخدادهای غیرعادی داخل هاله را تشخیص می‌دهد. تشخیص ظرف با آستانه‌گذاری چندسطحیِ ناحیه‌ای پس از تصحیح نور انجام می‌شود؛ تشخیص دیسک از ادغام دو‌شاخه‌ای هاف و بلاب حاصل می‌شود؛ و مرز هاله با یک پروفایل شعاعیِ مبتنی بر «همگرایی دائمی به پس‌زمینه»، بسط نامتقارن جهت‌به‌جهت مبتنی بر گرادیان، و رفع رخدادهای زاویه‌ای موضعی به‌دست می‌آید. تمام پارامترهای هندسی نسبت به اندازه‌ی ظرف یا دیسک تعریف شده‌اند، نه پیکسل مطلق، تا پایپ‌لاین بدون آموزش مجدد روی دوربین، نور و مقیاس متفاوت کار کند. عملکرد به‌صورت کیفی روی هفتادوهشت عکس واقعی اعتبارسنجی شده و چند طراحی جایگزین—از جمله GrabCut، برازش سیگموئید و معماری پیشنهادی کاربر—به‌صورت تجربی آزموده و رد شده‌اند. ارزیابی کمّی روی یک دیتاستِ مرجعِ مستقل و کارشناسی‌شده (۱۱ عکس، ۹۳ دیسک) نشان می‌دهد: تشخیصِ دیسک F1=۰٫۹۸۴، خطای قطرِ هاله MAE=۵٫۵۰mm (بایاسِ −۰٫۵۳mm)، و خطای قطرِ دیسک MAE=۰٫۱۷mm؛ این نتایج روی سیستمی مستقل و مجزا نیز عیناً بازتولید شدند.</w:t>
      </w:r>
    </w:p>
    <w:p>
      <w:pPr>
        <w:pStyle w:val="Index"/>
      </w:pPr>
      <w:r>
        <w:rPr>
          <w:b/>
          <w:bCs/>
          <w:rFonts w:hint="cs"/>
          <w:rtl/>
        </w:rPr>
        <w:t xml:space="preserve">واژه‌های کلیدی: </w:t>
      </w:r>
      <w:r>
        <w:rPr>
          <w:rFonts w:hint="cs"/>
          <w:rtl/>
        </w:rPr>
        <w:t xml:space="preserve">آنتی‌بایوگرام، بینایی ماشین کلاسیک، پردازش تصویر پزشکی، تبدیل هاف، تست دیسک-دیفیوژن، تقسیم‌بندی تصویر، دیسک آنتی‌بیوتیک، هاله‌ی بازدارندگی</w:t>
      </w:r>
    </w:p>
    <w:p>
      <w:pPr>
        <w:pStyle w:val="Heading1"/>
      </w:pPr>
      <w:r>
        <w:rPr>
          <w:b/>
          <w:bCs/>
          <w:rFonts w:hint="cs"/>
          <w:rtl/>
        </w:rPr>
        <w:t xml:space="preserve">مقدمه</w:t>
      </w:r>
    </w:p>
    <w:p>
      <w:pPr>
        <w:pStyle w:val="Paragraph"/>
      </w:pPr>
      <w:r>
        <w:rPr>
          <w:rFonts w:hint="cs"/>
          <w:rtl/>
        </w:rPr>
        <w:t xml:space="preserve">تست آنتی‌بایوگرام دیسک-دیفیوژن (کربی-باوئر) یکی از رایج‌ترین روش‌های آزمایشگاهی برای سنجش حساسیت باکتری به آنتی‌بیوتیک است: دیسک‌های آغشته به آنتی‌بیوتیک روی محیط کشت آگار حاوی باکتری قرار می‌گیرند و پس از انکوباسیون، در صورت حساس‌بودن باکتری، حلقه‌ای بدون رشد (هاله‌ی بازدارندگی) دور دیسک شکل می‌گیرد که قطرش، طبق جدول‌های استاندارد نظیر EUCAST، به دسته‌های حساس، متوسط و مقاوم تبدیل می‌شود. در عمل این قطر معمولاً با کولیس و به‌صورت دستی اندازه‌گیری می‌شود؛ روشی کند، وابسته به مهارت اپراتور و مستعد خطای انسانی و تغییرپذیری بین‌آزمایشگاهی. از دهه‌ی ۱۹۹۰ سامانه‌های تحلیل تصویر رایانه‌ای برای خودکارسازی این اندازه‌گیری با توافق قابل‌قبول در برابر روش دستی گزارش شده‌اند </w:t>
      </w:r>
      <w:r>
        <w:t xml:space="preserve">[1]</w:t>
      </w:r>
      <w:r>
        <w:rPr>
          <w:rFonts w:hint="cs"/>
          <w:rtl/>
        </w:rPr>
        <w:t xml:space="preserve">.</w:t>
      </w:r>
    </w:p>
    <w:p>
      <w:pPr>
        <w:pStyle w:val="Paragraph"/>
      </w:pPr>
      <w:r>
        <w:rPr>
          <w:rFonts w:hint="cs"/>
          <w:rtl/>
        </w:rPr>
        <w:t xml:space="preserve">رویکردهای بعدی عمدتاً حول تبدیل دایره‌ایِ هاف </w:t>
      </w:r>
      <w:r>
        <w:t xml:space="preserve">[2]</w:t>
      </w:r>
      <w:r>
        <w:rPr>
          <w:rFonts w:hint="cs"/>
          <w:rtl/>
        </w:rPr>
        <w:t xml:space="preserve">، ابزارهای مبتنی بر آستانه‌گذاریِ کلاسیک به‌همراه بازشناسی نوریِ کدِ چاپ‌شده‌ی روی دیسک مانند AntibiogramJ </w:t>
      </w:r>
      <w:r>
        <w:t xml:space="preserve">[3]</w:t>
      </w:r>
      <w:r>
        <w:rPr>
          <w:rFonts w:hint="cs"/>
          <w:rtl/>
        </w:rPr>
        <w:t xml:space="preserve">، و مقایسه‌ی چند روشِ تقسیم‌بندی روی مجموعه‌داده‌ای با ۱۷۰ عکس و ۵۱۳ هاله </w:t>
      </w:r>
      <w:r>
        <w:t xml:space="preserve">[4]</w:t>
      </w:r>
      <w:r>
        <w:rPr>
          <w:rFonts w:hint="cs"/>
          <w:rtl/>
        </w:rPr>
        <w:t xml:space="preserve"> متمرکز بوده‌اند. اخیراً رویکردهای مبتنی بر یادگیریِ عمیق نیز مطرح شده‌اند: یک اپلیکیشنِ موبایل با توافقِ ۹۰ تا ۹۸ درصد در برابرِ اندازه‌گیریِ دستی </w:t>
      </w:r>
      <w:r>
        <w:t xml:space="preserve">[5]</w:t>
      </w:r>
      <w:r>
        <w:rPr>
          <w:rFonts w:hint="cs"/>
          <w:rtl/>
        </w:rPr>
        <w:t xml:space="preserve">، و ترکیبِ تحلیلِ رنگ با طبقه‌بندیِ یادگیری‌محور </w:t>
      </w:r>
      <w:r>
        <w:t xml:space="preserve">[6]</w:t>
      </w:r>
      <w:r>
        <w:rPr>
          <w:rFonts w:hint="cs"/>
          <w:rtl/>
        </w:rPr>
        <w:t xml:space="preserve">. این کارها نشان می‌دهند خودکارسازی مفید است، اما معمولاً به مجموعه‌داده‌ی برچسب‌خورده‌ی حجیم نیاز دارند یا برای شرایطِ تصویربرداریِ محدودی طراحی شده‌اند.</w:t>
      </w:r>
    </w:p>
    <w:p>
      <w:pPr>
        <w:pStyle w:val="Paragraph"/>
      </w:pPr>
      <w:r>
        <w:rPr>
          <w:rFonts w:hint="cs"/>
          <w:rtl/>
        </w:rPr>
        <w:t xml:space="preserve">در این مقاله یک پایپ‌لاین کاملاً کلاسیک بینایی ماشین ارائه می‌شود که از یک عکس ساده‌ی تلفن‌همراه، حتی با چند ظرف پتری هم‌زمان، ظرف(ها)، دیسک‌های آنتی‌بیوتیک، مرز هاله و رخدادهای غیرعادیِ داخل هاله (کارِ در حالِ انجام) را تشخیص می‌دهد. انتخاب رویکرد کلاسیک یک تصمیم طراحیِ آگاهانه است: (۱) به مجموعه‌داده‌ی برچسب‌خورده‌ی حجیم نیاز ندارد؛ (۲) تفسیرپذیر است—مهم برای کاربردِ آزمایشگاهیِ نیازمندِ قابلیتِ ممیزی؛ (۳) برای پیاده‌سازی روی سخت‌افزار سبک به ++C قابل‌ترجمه است؛ و (۴) پارامترها نسبی‌اند، پس بدون آموزشِ مجدد روی دوربین، نور و مقیاسِ متفاوت کار می‌کند.</w:t>
      </w:r>
    </w:p>
    <w:p>
      <w:pPr>
        <w:pStyle w:val="Heading1"/>
      </w:pPr>
      <w:r>
        <w:rPr>
          <w:b/>
          <w:bCs/>
          <w:rFonts w:hint="cs"/>
          <w:rtl/>
        </w:rPr>
        <w:t xml:space="preserve">مواد و روش‌ها</w:t>
      </w:r>
    </w:p>
    <w:p>
      <w:pPr>
        <w:pStyle w:val="Heading2"/>
      </w:pPr>
      <w:r>
        <w:rPr>
          <w:b/>
          <w:bCs/>
          <w:rFonts w:hint="cs"/>
          <w:rtl/>
        </w:rPr>
        <w:t xml:space="preserve">داده‌ها</w:t>
      </w:r>
    </w:p>
    <w:p>
      <w:pPr>
        <w:pStyle w:val="Paragraph"/>
      </w:pPr>
      <w:r>
        <w:rPr>
          <w:rFonts w:hint="cs"/>
          <w:rtl/>
        </w:rPr>
        <w:t xml:space="preserve">مجموعه‌داده‌ی اصلی شامل هفتادوهشت عکس واقعی است که با دوربین تلفن‌همراه گرفته شده‌اند؛ هر عکس حاوی یک یا چند ظرف پتری است (اکثراً یک ظرف، بعضاً دو پتری). سند مرجع EUCAST (جدول‌های نقطه‌قطع نسخه‌ی ۱۶.۰ </w:t>
      </w:r>
      <w:r>
        <w:t xml:space="preserve">[7]</w:t>
      </w:r>
      <w:r>
        <w:rPr>
          <w:rFonts w:hint="cs"/>
          <w:rtl/>
        </w:rPr>
        <w:t xml:space="preserve">) برای بررسیِ روش استانداردِ خواندنِ مرز هاله استفاده شده (بخش ۴-۲)؛ پایپ‌لاین فقط قطر را گزارش می‌کند. برای ارزیابیِ کمّی (بخش ۳-۱)، یک زیرمجموعه‌ی مستقلِ ۱۱ عکس با حقیقتِ زمینیِ کارشناسی ساخته شد. جزئیاتِ ساختاریافته‌ی باقیِ نمونه‌ها [PLACEHOLDER: نوع باکتری، آنتی‌بیوتیک‌ها، شرایط انکوباسیون و محیط کشت] هنوز تکمیل نشده‌اند؛ هیچ داده یا تصویرِ بیمار در این مجموعه وجود ندارد.</w:t>
      </w:r>
    </w:p>
    <w:p>
      <w:pPr>
        <w:pStyle w:val="Heading2"/>
      </w:pPr>
      <w:r>
        <w:rPr>
          <w:b/>
          <w:bCs/>
          <w:rFonts w:hint="cs"/>
          <w:rtl/>
        </w:rPr>
        <w:t xml:space="preserve">معماری کلی پایپ‌لاین</w:t>
      </w:r>
    </w:p>
    <w:p>
      <w:pPr>
        <w:pStyle w:val="Paragraph"/>
      </w:pPr>
      <w:r>
        <w:rPr>
          <w:rFonts w:hint="cs"/>
          <w:rtl/>
        </w:rPr>
        <w:t xml:space="preserve">جریان پردازش برای هر عکس این چهار مرحله را به‌ترتیب طی می‌کند: تشخیص ظرف(های) پتری (بخش ۲-۳)، تشخیص دیسک‌های آنتی‌بیوتیک با ادغام دو‌شاخه‌ای (بخش ۲-۴)، برازش و اصلاح مرز هاله‌ی بازدارندگی (بخش ۲-۵)، و تشخیص رخدادهای غیرعادی داخل هاله (بخش ۲-۶)؛ در پایان یک گزارش عددی برای هر دیسک تولید می‌شود. سه اصل طراحی در طول کل پایپ‌لاین رعایت شده: عدم استفاده از مقدار پیکسلی مطلق (هر پارامتر نسبت به قطر ظرف یا دیسک تعریف می‌شود)، قطعیت کامل (پیش‌نیاز ترجمه‌ی آینده به ++C)، و اعتبارسنجیِ هر تغییر روی چند عکسِ متنوع پیش از قطعی‌شدن، برای پرهیز از بیش‌برازش به یک نمونه. شکل ۲ این جریان را خلاصه می‌کند.</w:t>
      </w:r>
    </w:p>
    <w:p>
      <w:pPr>
        <w:pStyle w:val="FigurePosition"/>
      </w:pPr>
      <w:r>
        <w:rPr>
          <w:noProof/>
        </w:rPr>
        <w:drawing>
          <wp:inline distT="0" distB="0" distL="0" distR="0">
            <wp:extent cx="2952750" cy="3927581"/>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
                    <a:stretch>
                      <a:fillRect/>
                    </a:stretch>
                  </pic:blipFill>
                  <pic:spPr>
                    <a:xfrm>
                      <a:off x="0" y="0"/>
                      <a:ext cx="2952750" cy="3927581"/>
                    </a:xfrm>
                    <a:prstGeom prst="rect">
                      <a:avLst/>
                    </a:prstGeom>
                  </pic:spPr>
                </pic:pic>
              </a:graphicData>
            </a:graphic>
          </wp:inline>
        </w:drawing>
      </w:r>
    </w:p>
    <w:p>
      <w:pPr>
        <w:pStyle w:val="Caption"/>
      </w:pPr>
      <w:r>
        <w:rPr>
          <w:rFonts w:hint="cs"/>
          <w:rtl/>
        </w:rPr>
        <w:t xml:space="preserve">شکل ۲: نمودار کلی معماری پایپ‌لاین. ماژول‌های ۵ تا ۱۷ برای هر ظرف پتری به‌طور مستقل اجرا می‌شوند.</w:t>
      </w:r>
    </w:p>
    <w:p>
      <w:pPr>
        <w:pStyle w:val="Heading2"/>
      </w:pPr>
      <w:r>
        <w:rPr>
          <w:b/>
          <w:bCs/>
          <w:rFonts w:hint="cs"/>
          <w:rtl/>
        </w:rPr>
        <w:t xml:space="preserve">تشخیص ظرف پتری</w:t>
      </w:r>
    </w:p>
    <w:p>
      <w:pPr>
        <w:pStyle w:val="Paragraph"/>
      </w:pPr>
      <w:r>
        <w:rPr>
          <w:rFonts w:hint="cs"/>
          <w:rtl/>
        </w:rPr>
        <w:t xml:space="preserve">چالش اصلیِ این مرحله، آستانه‌گذاری در حضور نور ناهموار است </w:t>
      </w:r>
      <w:r>
        <w:t xml:space="preserve">[8]</w:t>
      </w:r>
      <w:r>
        <w:rPr>
          <w:rFonts w:hint="cs"/>
          <w:rtl/>
        </w:rPr>
        <w:t xml:space="preserve">. راه‌حل، تصحیحِ میدانِ روشنایی پیش از سگمنتیشنِ ناحیه‌ای با آستانه‌گذاریِ چندسطحیِ Otsu </w:t>
      </w:r>
      <w:r>
        <w:t xml:space="preserve">[9]</w:t>
      </w:r>
      <w:r>
        <w:rPr>
          <w:rFonts w:hint="cs"/>
          <w:rtl/>
        </w:rPr>
        <w:t xml:space="preserve"> است؛ هاف و کانتور تنها مسیرِ مکمل/تاییدکننده‌اند. تشخیصِ چندگانه (شکل ۱) با نگه‌داشتنِ کانتورهای معتبر و دو خودآزماییِ hypothesize-and-verify انجام می‌شود.</w:t>
      </w:r>
    </w:p>
    <w:p>
      <w:pPr>
        <w:pStyle w:val="FigurePosition"/>
      </w:pPr>
      <w:r>
        <w:rPr>
          <w:noProof/>
        </w:rPr>
        <w:drawing>
          <wp:inline distT="0" distB="0" distL="0" distR="0">
            <wp:extent cx="2952750" cy="39370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
                    <a:stretch>
                      <a:fillRect/>
                    </a:stretch>
                  </pic:blipFill>
                  <pic:spPr>
                    <a:xfrm>
                      <a:off x="0" y="0"/>
                      <a:ext cx="2952750" cy="3937000"/>
                    </a:xfrm>
                    <a:prstGeom prst="rect">
                      <a:avLst/>
                    </a:prstGeom>
                  </pic:spPr>
                </pic:pic>
              </a:graphicData>
            </a:graphic>
          </wp:inline>
        </w:drawing>
      </w:r>
    </w:p>
    <w:p>
      <w:pPr>
        <w:pStyle w:val="Caption"/>
      </w:pPr>
      <w:r>
        <w:rPr>
          <w:rFonts w:hint="cs"/>
          <w:rtl/>
        </w:rPr>
        <w:t xml:space="preserve">شکل ۱: تشخیص هم‌زمان دو ظرف پتری واقعی و مجاور در یک قاب؛ هر ظرف با کانتور و برچسب مستقل خودش (Petri #1 / Petri #2) مشخص شده است.</w:t>
      </w:r>
    </w:p>
    <w:p>
      <w:pPr>
        <w:pStyle w:val="Heading2"/>
      </w:pPr>
      <w:r>
        <w:rPr>
          <w:b/>
          <w:bCs/>
          <w:rFonts w:hint="cs"/>
          <w:rtl/>
        </w:rPr>
        <w:t xml:space="preserve">تشخیص دیسک‌های آنتی‌بیوتیک</w:t>
      </w:r>
    </w:p>
    <w:p>
      <w:pPr>
        <w:pStyle w:val="Paragraph"/>
      </w:pPr>
      <w:r>
        <w:rPr>
          <w:rFonts w:hint="cs"/>
          <w:rtl/>
        </w:rPr>
        <w:t xml:space="preserve">تشخیص دیسک از ادغامِ دو شاخه‌ی مکمل به‌دست می‌آید: شاخه‌ی هاف به‌عنوانِ مسیرِ اصلی، و شاخه‌ی تحلیلِ بلاب/واترشد به‌عنوانِ مسیرِ پوششی برای دیسک‌های چسبیده. اعتبارسنجیِ هندسی روی اجتماعِ دو ماسک اجرا می‌شود تا شکستِ موضعیِ یک شاخه کل کاندید را نکِشد. پیش‌تر یک گیتِ دودوییِ سخت کاندیدهای معتبرِ نزدیکِ آستانه را حذف می‌کرد؛ این گیت با یک آستانه‌ی امتیازِ پیوسته جایگزین شد (جدول ۳). شکل ۳ تصویرِ ویژگیِ ورودی و نتیجه‌ی ادغام را نشان می‌دهد.</w:t>
      </w:r>
    </w:p>
    <w:p>
      <w:pPr>
        <w:pStyle w:val="FigurePosition"/>
      </w:pPr>
      <w:r>
        <w:rPr>
          <w:noProof/>
        </w:rPr>
        <w:drawing>
          <wp:inline distT="0" distB="0" distL="0" distR="0">
            <wp:extent cx="1605077" cy="1726604"/>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2"/>
                    <a:stretch>
                      <a:fillRect/>
                    </a:stretch>
                  </pic:blipFill>
                  <pic:spPr>
                    <a:xfrm>
                      <a:off x="0" y="0"/>
                      <a:ext cx="1605077" cy="1726604"/>
                    </a:xfrm>
                    <a:prstGeom prst="rect">
                      <a:avLst/>
                    </a:prstGeom>
                  </pic:spPr>
                </pic:pic>
              </a:graphicData>
            </a:graphic>
          </wp:inline>
        </w:drawing>
      </w:r>
      <w:r>
        <w:t xml:space="preserve">  </w:t>
      </w:r>
      <w:r>
        <w:rPr>
          <w:noProof/>
        </w:rPr>
        <w:drawing>
          <wp:inline distT="0" distB="0" distL="0" distR="0">
            <wp:extent cx="1257672" cy="1726604"/>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3"/>
                    <a:stretch>
                      <a:fillRect/>
                    </a:stretch>
                  </pic:blipFill>
                  <pic:spPr>
                    <a:xfrm>
                      <a:off x="0" y="0"/>
                      <a:ext cx="1257672" cy="1726604"/>
                    </a:xfrm>
                    <a:prstGeom prst="rect">
                      <a:avLst/>
                    </a:prstGeom>
                  </pic:spPr>
                </pic:pic>
              </a:graphicData>
            </a:graphic>
          </wp:inline>
        </w:drawing>
      </w:r>
    </w:p>
    <w:p>
      <w:pPr>
        <w:pStyle w:val="Caption"/>
      </w:pPr>
      <w:r>
        <w:rPr>
          <w:rFonts w:hint="cs"/>
          <w:rtl/>
        </w:rPr>
        <w:t xml:space="preserve">شکل ۳: تشخیص دیسک بر پایه‌ی ادغام دو‌شاخه‌ای. راست: تصویرِ ویژگیِ نورمال‌شده (ماژول ۵)، ورودیِ هر دو شاخه‌ی هاف/بلاب. چپ: نتیجه‌ی نهاییِ ادغام (ماژول ۱۴).</w:t>
      </w:r>
    </w:p>
    <w:p>
      <w:pPr>
        <w:pStyle w:val="Heading2"/>
      </w:pPr>
      <w:r>
        <w:rPr>
          <w:b/>
          <w:bCs/>
          <w:rFonts w:hint="cs"/>
          <w:rtl/>
        </w:rPr>
        <w:t xml:space="preserve">تشخیص مرز هاله‌ی بازدارندگی</w:t>
      </w:r>
    </w:p>
    <w:p>
      <w:pPr>
        <w:pStyle w:val="Paragraph"/>
      </w:pPr>
      <w:r>
        <w:rPr>
          <w:rFonts w:hint="cs"/>
          <w:rtl/>
        </w:rPr>
        <w:t xml:space="preserve">این بخش پرچالش‌ترین مرحله‌ی پروژه بوده است. رویکردهای اولیه‌ای که با یک گیتِ وجود/عدم‌وجود تصمیم می‌گرفتند «آیا اصلاً هاله‌ای هست؟» رد شدند (جدول ۳)؛ معماریِ نهایی همیشه یک دایره‌ی هندسی برازش و اصلاح می‌کند، و جداگانه یک معیارِ آماری تعیین می‌کند که آیا برازش یک هاله‌ی واقعی نشان می‌دهد یا نویز (گزارش‌شده به‌صورتِ «تشکیل‌نشده»؛ بخش ۳-۱). شعاعِ پایه از یک پروفایلِ شعاعیِ تجمیعی و همه‌جهته به‌دست می‌آید؛ مرز، اولین شعاعی است که پس از آن مقادیر در یک باندِ نویز-محور حولِ پس‌زمینه باقی می‌مانند («همگراییِ دائمی به پس‌زمینه»)—هم‌راستا با تعریفِ رسمیِ EUCAST (بخش ۴-۲). سپس مرز جهت‌به‌جهت با یافتنِ قله‌ی گرادیانِ محلی بسط می‌یابد، محدود به دو سقفِ هندسیِ همیشه‌فعال (نیمسازِ عمود تا دیسکِ همسایه، و لبه‌ی پتری).</w:t>
      </w:r>
    </w:p>
    <w:p>
      <w:pPr>
        <w:pStyle w:val="Paragraph"/>
      </w:pPr>
      <w:r>
        <w:rPr>
          <w:rFonts w:hint="cs"/>
          <w:rtl/>
        </w:rPr>
        <w:t xml:space="preserve">در نهایت یک لایه‌ی اصلاحِ رخدادهای زاویه‌ایِ ایزوله—جایگزینیِ هر جهتی با شعاعِ بیش از ۱٫۲ برابرِ میانه‌ی همسایگیِ محلی—رخدادهایی نظیر «لنگرشدن به لبه‌ی پتری» را رفع می‌کند؛ این آستانه پس از بررسیِ خروجی روی چند عکسِ متنوع از ۱٫۴ به ۱٫۲ بازکالیبره شد (جدول ۳). شکل ۴ مرزِ پایه و مرزِ نهایی را مقایسه می‌کند.</w:t>
      </w:r>
    </w:p>
    <w:p>
      <w:pPr>
        <w:pStyle w:val="FigurePosition"/>
      </w:pPr>
      <w:r>
        <w:rPr>
          <w:noProof/>
        </w:rPr>
        <w:drawing>
          <wp:inline distT="0" distB="0" distL="0" distR="0">
            <wp:extent cx="1399609" cy="151957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4"/>
                    <a:stretch>
                      <a:fillRect/>
                    </a:stretch>
                  </pic:blipFill>
                  <pic:spPr>
                    <a:xfrm>
                      <a:off x="0" y="0"/>
                      <a:ext cx="1399609" cy="1519575"/>
                    </a:xfrm>
                    <a:prstGeom prst="rect">
                      <a:avLst/>
                    </a:prstGeom>
                  </pic:spPr>
                </pic:pic>
              </a:graphicData>
            </a:graphic>
          </wp:inline>
        </w:drawing>
      </w:r>
      <w:r>
        <w:t xml:space="preserve">  </w:t>
      </w:r>
      <w:r>
        <w:rPr>
          <w:noProof/>
        </w:rPr>
        <w:drawing>
          <wp:inline distT="0" distB="0" distL="0" distR="0">
            <wp:extent cx="1463140" cy="151957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5"/>
                    <a:stretch>
                      <a:fillRect/>
                    </a:stretch>
                  </pic:blipFill>
                  <pic:spPr>
                    <a:xfrm>
                      <a:off x="0" y="0"/>
                      <a:ext cx="1463140" cy="1519575"/>
                    </a:xfrm>
                    <a:prstGeom prst="rect">
                      <a:avLst/>
                    </a:prstGeom>
                  </pic:spPr>
                </pic:pic>
              </a:graphicData>
            </a:graphic>
          </wp:inline>
        </w:drawing>
      </w:r>
    </w:p>
    <w:p>
      <w:pPr>
        <w:pStyle w:val="Caption"/>
      </w:pPr>
      <w:r>
        <w:rPr>
          <w:rFonts w:hint="cs"/>
          <w:rtl/>
        </w:rPr>
        <w:t xml:space="preserve">شکل ۴: مرزِ هاله روی یک عکسِ واقعی. راست: دایره‌ی پایه با سقفِ هندسی (ماژول ۱۶). چپ: مرزِ نهایی پس از بسطِ per-angle و رفعِ رخدادهای زاویه‌ای (ماژول ۱۶.۶).</w:t>
      </w:r>
    </w:p>
    <w:p>
      <w:pPr>
        <w:pStyle w:val="Heading2"/>
      </w:pPr>
      <w:r>
        <w:rPr>
          <w:b/>
          <w:bCs/>
          <w:rFonts w:hint="cs"/>
          <w:rtl/>
        </w:rPr>
        <w:t xml:space="preserve">تشخیص رخداد و حباب داخل هاله</w:t>
      </w:r>
    </w:p>
    <w:p>
      <w:pPr>
        <w:pStyle w:val="Paragraph"/>
      </w:pPr>
      <w:r>
        <w:rPr>
          <w:rFonts w:hint="cs"/>
          <w:rtl/>
        </w:rPr>
        <w:t xml:space="preserve">برای علامت‌گذاریِ رخدادهای موضعیِ غیرعادی—مانند کلونیِ مقاومِ نقطه‌ای یا حبابِ هوا—ناحیه‌ی جست‌وجو از شکلِ واقعیِ نامتقارنِ مرزِ هاله گرفته می‌شود؛ سیگنالِ باقیمانده با آستانه‌ی robust مبتنی بر MAD دوتایی می‌شود. این ماژول یک کارِ در حالِ انجام است، تاکنون روی نمونه‌ی واقعیِ دارای حباب اعتبارسنجی نشده. خروجیِ نهاییِ گزارش برای هر دیسک شامل مختصاتِ مرکز، قطرِ دیسک و قطرِ هاله (یا «تشکیل‌نشده»)، بر حسبِ میلی‌متر، است.</w:t>
      </w:r>
    </w:p>
    <w:p>
      <w:pPr>
        <w:pStyle w:val="Heading1"/>
      </w:pPr>
      <w:r>
        <w:rPr>
          <w:b/>
          <w:bCs/>
          <w:rFonts w:hint="cs"/>
          <w:rtl/>
        </w:rPr>
        <w:t xml:space="preserve">نتایج</w:t>
      </w:r>
    </w:p>
    <w:p>
      <w:pPr>
        <w:pStyle w:val="Paragraph"/>
      </w:pPr>
      <w:r>
        <w:rPr>
          <w:rFonts w:hint="cs"/>
          <w:rtl/>
        </w:rPr>
        <w:t xml:space="preserve">شکل ۵ خروجیِ کاملِ پایپ‌لاین—تشخیص دیسک، مرز هاله، و رخداد حباب—را روی یک عکسِ واقعی (۹ دیسک روی یک ظرف) نشان می‌دهد. جدول ۱ گزارشِ عددیِ متناظر را فهرست می‌کند: قطرِ دیسک‌ها از ۴٫۹ تا ۷٫۷mm و قطرِ هاله‌ها از ۵٫۶ تا ۱۷٫۷mm متغیر است، شاملِ چند دیسکِ عملاً بدونِ هاله (مقاوم)؛ ماژول ۱۷ نیز یک رخدادِ حباب گزارش کرد.</w:t>
      </w:r>
    </w:p>
    <w:p>
      <w:pPr>
        <w:pStyle w:val="FigurePosition"/>
      </w:pPr>
      <w:r>
        <w:rPr>
          <w:noProof/>
        </w:rPr>
        <w:drawing>
          <wp:inline distT="0" distB="0" distL="0" distR="0">
            <wp:extent cx="821556" cy="1128271"/>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6"/>
                    <a:stretch>
                      <a:fillRect/>
                    </a:stretch>
                  </pic:blipFill>
                  <pic:spPr>
                    <a:xfrm>
                      <a:off x="0" y="0"/>
                      <a:ext cx="821556" cy="1128271"/>
                    </a:xfrm>
                    <a:prstGeom prst="rect">
                      <a:avLst/>
                    </a:prstGeom>
                  </pic:spPr>
                </pic:pic>
              </a:graphicData>
            </a:graphic>
          </wp:inline>
        </w:drawing>
      </w:r>
      <w:r>
        <w:t xml:space="preserve">  </w:t>
      </w:r>
      <w:r>
        <w:rPr>
          <w:noProof/>
        </w:rPr>
        <w:drawing>
          <wp:inline distT="0" distB="0" distL="0" distR="0">
            <wp:extent cx="1086617" cy="1128271"/>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7"/>
                    <a:stretch>
                      <a:fillRect/>
                    </a:stretch>
                  </pic:blipFill>
                  <pic:spPr>
                    <a:xfrm>
                      <a:off x="0" y="0"/>
                      <a:ext cx="1086617" cy="1128271"/>
                    </a:xfrm>
                    <a:prstGeom prst="rect">
                      <a:avLst/>
                    </a:prstGeom>
                  </pic:spPr>
                </pic:pic>
              </a:graphicData>
            </a:graphic>
          </wp:inline>
        </w:drawing>
      </w:r>
      <w:r>
        <w:t xml:space="preserve">  </w:t>
      </w:r>
      <w:r>
        <w:rPr>
          <w:noProof/>
        </w:rPr>
        <w:drawing>
          <wp:inline distT="0" distB="0" distL="0" distR="0">
            <wp:extent cx="864575" cy="1128271"/>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8"/>
                    <a:stretch>
                      <a:fillRect/>
                    </a:stretch>
                  </pic:blipFill>
                  <pic:spPr>
                    <a:xfrm>
                      <a:off x="0" y="0"/>
                      <a:ext cx="864575" cy="1128271"/>
                    </a:xfrm>
                    <a:prstGeom prst="rect">
                      <a:avLst/>
                    </a:prstGeom>
                  </pic:spPr>
                </pic:pic>
              </a:graphicData>
            </a:graphic>
          </wp:inline>
        </w:drawing>
      </w:r>
    </w:p>
    <w:p>
      <w:pPr>
        <w:pStyle w:val="Caption"/>
      </w:pPr>
      <w:r>
        <w:rPr>
          <w:rFonts w:hint="cs"/>
          <w:rtl/>
        </w:rPr>
        <w:t xml:space="preserve">شکل ۵: خروجی سرتاسریِ پایپ‌لاین روی یک نمونه‌ی واقعی. از راست به چپ: (الف) نتیجه‌ی نهاییِ ادغام برای تشخیص نُه دیسک، (ب) مرز نهاییِ هاله‌ی بازدارندگی برای هر دیسک، (پ) ناحیه‌ی جست‌وجوی رخداد/حباب؛ یک رخداد (دایره‌ی بنفش کوچک) نزدیکِ دیسکِ CZ30 شناسایی شد.</w:t>
      </w:r>
    </w:p>
    <w:p>
      <w:pPr>
        <w:pStyle w:val="TableTitle"/>
      </w:pPr>
      <w:r>
        <w:rPr>
          <w:rFonts w:hint="cs"/>
          <w:rtl/>
        </w:rPr>
        <w:t xml:space="preserve">جدول ۱: گزارش خروجی نهایی پایپ‌لاین برای یک ظرف واقعی (۹ دیسک، روش تشخیص ظرف: hough_fallback، اطمینان=۰٫۸۲).</w:t>
      </w:r>
    </w:p>
    <w:tbl>
      <w:tblPr>
        <w:bidiVisual/>
        <w:tblW w:w="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1950"/>
        <w:gridCol w:w="1950"/>
      </w:tblGrid>
      <w:tr>
        <w:trPr>
          <w:cantSplit/>
          <w:tblHeader/>
        </w:trPr>
        <w:tc>
          <w:tcPr>
            <w:tcW w:w="700" w:type="dxa"/>
            <w:shd w:val="clear" w:color="auto" w:fill="D9D9D9"/>
            <w:vAlign w:val="center"/>
          </w:tcPr>
          <w:p>
            <w:pPr>
              <w:bidi/>
              <w:jc w:val="center"/>
            </w:pPr>
            <w:r>
              <w:rPr>
                <w:sz w:val="15"/>
                <w:szCs w:val="15"/>
                <w:rFonts w:hint="cs"/>
                <w:rtl/>
              </w:rPr>
              <w:t xml:space="preserve">دیسک</w:t>
            </w:r>
          </w:p>
        </w:tc>
        <w:tc>
          <w:tcPr>
            <w:tcW w:w="1950" w:type="dxa"/>
            <w:shd w:val="clear" w:color="auto" w:fill="D9D9D9"/>
            <w:vAlign w:val="center"/>
          </w:tcPr>
          <w:p>
            <w:pPr>
              <w:bidi/>
              <w:jc w:val="center"/>
            </w:pPr>
            <w:r>
              <w:rPr>
                <w:sz w:val="15"/>
                <w:szCs w:val="15"/>
                <w:rFonts w:hint="cs"/>
                <w:rtl/>
              </w:rPr>
              <w:t xml:space="preserve">قطر دیسک (mm)</w:t>
            </w:r>
          </w:p>
        </w:tc>
        <w:tc>
          <w:tcPr>
            <w:tcW w:w="1950" w:type="dxa"/>
            <w:shd w:val="clear" w:color="auto" w:fill="D9D9D9"/>
            <w:vAlign w:val="center"/>
          </w:tcPr>
          <w:p>
            <w:pPr>
              <w:bidi/>
              <w:jc w:val="center"/>
            </w:pPr>
            <w:r>
              <w:rPr>
                <w:sz w:val="15"/>
                <w:szCs w:val="15"/>
                <w:rFonts w:hint="cs"/>
                <w:rtl/>
              </w:rPr>
              <w:t xml:space="preserve">قطر هاله (mm)</w:t>
            </w:r>
          </w:p>
        </w:tc>
      </w:tr>
      <w:tr>
        <w:trPr>
          <w:cantSplit/>
        </w:trPr>
        <w:tc>
          <w:tcPr>
            <w:tcW w:w="700" w:type="dxa"/>
            <w:vAlign w:val="center"/>
          </w:tcPr>
          <w:p>
            <w:pPr>
              <w:bidi/>
              <w:jc w:val="center"/>
            </w:pPr>
            <w:r>
              <w:rPr>
                <w:sz w:val="15"/>
                <w:szCs w:val="15"/>
                <w:rFonts w:hint="cs"/>
                <w:rtl/>
              </w:rPr>
              <w:t xml:space="preserve">۱</w:t>
            </w:r>
          </w:p>
        </w:tc>
        <w:tc>
          <w:tcPr>
            <w:tcW w:w="1950" w:type="dxa"/>
            <w:vAlign w:val="center"/>
          </w:tcPr>
          <w:p>
            <w:pPr>
              <w:bidi/>
              <w:jc w:val="center"/>
            </w:pPr>
            <w:r>
              <w:rPr>
                <w:sz w:val="15"/>
                <w:szCs w:val="15"/>
                <w:rFonts w:hint="cs"/>
                <w:rtl/>
              </w:rPr>
              <w:t xml:space="preserve">۷٫۷</w:t>
            </w:r>
          </w:p>
        </w:tc>
        <w:tc>
          <w:tcPr>
            <w:tcW w:w="1950" w:type="dxa"/>
            <w:vAlign w:val="center"/>
          </w:tcPr>
          <w:p>
            <w:pPr>
              <w:bidi/>
              <w:jc w:val="center"/>
            </w:pPr>
            <w:r>
              <w:rPr>
                <w:sz w:val="15"/>
                <w:szCs w:val="15"/>
                <w:rFonts w:hint="cs"/>
                <w:rtl/>
              </w:rPr>
              <w:t xml:space="preserve">۱۷٫۷</w:t>
            </w:r>
          </w:p>
        </w:tc>
      </w:tr>
      <w:tr>
        <w:trPr>
          <w:cantSplit/>
        </w:trPr>
        <w:tc>
          <w:tcPr>
            <w:tcW w:w="700" w:type="dxa"/>
            <w:vAlign w:val="center"/>
          </w:tcPr>
          <w:p>
            <w:pPr>
              <w:bidi/>
              <w:jc w:val="center"/>
            </w:pPr>
            <w:r>
              <w:rPr>
                <w:sz w:val="15"/>
                <w:szCs w:val="15"/>
                <w:rFonts w:hint="cs"/>
                <w:rtl/>
              </w:rPr>
              <w:t xml:space="preserve">۲</w:t>
            </w:r>
          </w:p>
        </w:tc>
        <w:tc>
          <w:tcPr>
            <w:tcW w:w="1950" w:type="dxa"/>
            <w:vAlign w:val="center"/>
          </w:tcPr>
          <w:p>
            <w:pPr>
              <w:bidi/>
              <w:jc w:val="center"/>
            </w:pPr>
            <w:r>
              <w:rPr>
                <w:sz w:val="15"/>
                <w:szCs w:val="15"/>
                <w:rFonts w:hint="cs"/>
                <w:rtl/>
              </w:rPr>
              <w:t xml:space="preserve">۵٫۰</w:t>
            </w:r>
          </w:p>
        </w:tc>
        <w:tc>
          <w:tcPr>
            <w:tcW w:w="1950" w:type="dxa"/>
            <w:vAlign w:val="center"/>
          </w:tcPr>
          <w:p>
            <w:pPr>
              <w:bidi/>
              <w:jc w:val="center"/>
            </w:pPr>
            <w:r>
              <w:rPr>
                <w:sz w:val="15"/>
                <w:szCs w:val="15"/>
                <w:rFonts w:hint="cs"/>
                <w:rtl/>
              </w:rPr>
              <w:t xml:space="preserve">۵٫۸</w:t>
            </w:r>
          </w:p>
        </w:tc>
      </w:tr>
      <w:tr>
        <w:trPr>
          <w:cantSplit/>
        </w:trPr>
        <w:tc>
          <w:tcPr>
            <w:tcW w:w="700" w:type="dxa"/>
            <w:vAlign w:val="center"/>
          </w:tcPr>
          <w:p>
            <w:pPr>
              <w:bidi/>
              <w:jc w:val="center"/>
            </w:pPr>
            <w:r>
              <w:rPr>
                <w:sz w:val="15"/>
                <w:szCs w:val="15"/>
                <w:rFonts w:hint="cs"/>
                <w:rtl/>
              </w:rPr>
              <w:t xml:space="preserve">۳</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rPr>
          <w:cantSplit/>
        </w:trPr>
        <w:tc>
          <w:tcPr>
            <w:tcW w:w="700" w:type="dxa"/>
            <w:vAlign w:val="center"/>
          </w:tcPr>
          <w:p>
            <w:pPr>
              <w:bidi/>
              <w:jc w:val="center"/>
            </w:pPr>
            <w:r>
              <w:rPr>
                <w:sz w:val="15"/>
                <w:szCs w:val="15"/>
                <w:rFonts w:hint="cs"/>
                <w:rtl/>
              </w:rPr>
              <w:t xml:space="preserve">۴</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rPr>
          <w:cantSplit/>
        </w:trPr>
        <w:tc>
          <w:tcPr>
            <w:tcW w:w="700" w:type="dxa"/>
            <w:vAlign w:val="center"/>
          </w:tcPr>
          <w:p>
            <w:pPr>
              <w:bidi/>
              <w:jc w:val="center"/>
            </w:pPr>
            <w:r>
              <w:rPr>
                <w:sz w:val="15"/>
                <w:szCs w:val="15"/>
                <w:rFonts w:hint="cs"/>
                <w:rtl/>
              </w:rPr>
              <w:t xml:space="preserve">۵</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۱۳٫۲</w:t>
            </w:r>
          </w:p>
        </w:tc>
      </w:tr>
      <w:tr>
        <w:trPr>
          <w:cantSplit/>
        </w:trPr>
        <w:tc>
          <w:tcPr>
            <w:tcW w:w="700" w:type="dxa"/>
            <w:vAlign w:val="center"/>
          </w:tcPr>
          <w:p>
            <w:pPr>
              <w:bidi/>
              <w:jc w:val="center"/>
            </w:pPr>
            <w:r>
              <w:rPr>
                <w:sz w:val="15"/>
                <w:szCs w:val="15"/>
                <w:rFonts w:hint="cs"/>
                <w:rtl/>
              </w:rPr>
              <w:t xml:space="preserve">۶</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rPr>
          <w:cantSplit/>
        </w:trPr>
        <w:tc>
          <w:tcPr>
            <w:tcW w:w="700" w:type="dxa"/>
            <w:vAlign w:val="center"/>
          </w:tcPr>
          <w:p>
            <w:pPr>
              <w:bidi/>
              <w:jc w:val="center"/>
            </w:pPr>
            <w:r>
              <w:rPr>
                <w:sz w:val="15"/>
                <w:szCs w:val="15"/>
                <w:rFonts w:hint="cs"/>
                <w:rtl/>
              </w:rPr>
              <w:t xml:space="preserve">۷</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rPr>
          <w:cantSplit/>
        </w:trPr>
        <w:tc>
          <w:tcPr>
            <w:tcW w:w="700" w:type="dxa"/>
            <w:vAlign w:val="center"/>
          </w:tcPr>
          <w:p>
            <w:pPr>
              <w:bidi/>
              <w:jc w:val="center"/>
            </w:pPr>
            <w:r>
              <w:rPr>
                <w:sz w:val="15"/>
                <w:szCs w:val="15"/>
                <w:rFonts w:hint="cs"/>
                <w:rtl/>
              </w:rPr>
              <w:t xml:space="preserve">۸</w:t>
            </w:r>
          </w:p>
        </w:tc>
        <w:tc>
          <w:tcPr>
            <w:tcW w:w="1950" w:type="dxa"/>
            <w:vAlign w:val="center"/>
          </w:tcPr>
          <w:p>
            <w:pPr>
              <w:bidi/>
              <w:jc w:val="center"/>
            </w:pPr>
            <w:r>
              <w:rPr>
                <w:sz w:val="15"/>
                <w:szCs w:val="15"/>
                <w:rFonts w:hint="cs"/>
                <w:rtl/>
              </w:rPr>
              <w:t xml:space="preserve">۷٫۷</w:t>
            </w:r>
          </w:p>
        </w:tc>
        <w:tc>
          <w:tcPr>
            <w:tcW w:w="1950" w:type="dxa"/>
            <w:vAlign w:val="center"/>
          </w:tcPr>
          <w:p>
            <w:pPr>
              <w:bidi/>
              <w:jc w:val="center"/>
            </w:pPr>
            <w:r>
              <w:rPr>
                <w:sz w:val="15"/>
                <w:szCs w:val="15"/>
                <w:rFonts w:hint="cs"/>
                <w:rtl/>
              </w:rPr>
              <w:t xml:space="preserve">۸٫۹</w:t>
            </w:r>
          </w:p>
        </w:tc>
      </w:tr>
      <w:tr>
        <w:trPr>
          <w:cantSplit/>
        </w:trPr>
        <w:tc>
          <w:tcPr>
            <w:tcW w:w="700" w:type="dxa"/>
            <w:vAlign w:val="center"/>
          </w:tcPr>
          <w:p>
            <w:pPr>
              <w:bidi/>
              <w:jc w:val="center"/>
            </w:pPr>
            <w:r>
              <w:rPr>
                <w:sz w:val="15"/>
                <w:szCs w:val="15"/>
                <w:rFonts w:hint="cs"/>
                <w:rtl/>
              </w:rPr>
              <w:t xml:space="preserve">۹</w:t>
            </w:r>
          </w:p>
        </w:tc>
        <w:tc>
          <w:tcPr>
            <w:tcW w:w="1950" w:type="dxa"/>
            <w:vAlign w:val="center"/>
          </w:tcPr>
          <w:p>
            <w:pPr>
              <w:bidi/>
              <w:jc w:val="center"/>
            </w:pPr>
            <w:r>
              <w:rPr>
                <w:sz w:val="15"/>
                <w:szCs w:val="15"/>
                <w:rFonts w:hint="cs"/>
                <w:rtl/>
              </w:rPr>
              <w:t xml:space="preserve">۵٫۱</w:t>
            </w:r>
          </w:p>
        </w:tc>
        <w:tc>
          <w:tcPr>
            <w:tcW w:w="1950" w:type="dxa"/>
            <w:vAlign w:val="center"/>
          </w:tcPr>
          <w:p>
            <w:pPr>
              <w:bidi/>
              <w:jc w:val="center"/>
            </w:pPr>
            <w:r>
              <w:rPr>
                <w:sz w:val="15"/>
                <w:szCs w:val="15"/>
                <w:rFonts w:hint="cs"/>
                <w:rtl/>
              </w:rPr>
              <w:t xml:space="preserve">۹٫۰</w:t>
            </w:r>
          </w:p>
        </w:tc>
      </w:tr>
    </w:tbl>
    <w:p/>
    <w:p>
      <w:pPr>
        <w:pStyle w:val="Paragraph"/>
      </w:pPr>
      <w:r>
        <w:rPr>
          <w:rFonts w:hint="cs"/>
          <w:rtl/>
        </w:rPr>
        <w:t xml:space="preserve">روی مجموعه‌ی ۷۸-عکسیِ اصلی، اعتبارسنجی عمدتاً کیفی/بصری بوده: هر تغییرِ الگوریتمی، پیش از قطعی‌شدن، روی چند عکسِ متنوع اجرا و overlay آن با بازرسیِ مستقیم تایید شده—از جمله رفعِ «پرتگاهِ ادغام» و رفعِ لنگرشدنِ مرزِ هاله (بخش ۲-۵)، که روی چند عکسِ چالشیِ پتریِ مربعی نیز بدونِ رگرسیون تکرار شد.</w:t>
      </w:r>
    </w:p>
    <w:p>
      <w:pPr>
        <w:pStyle w:val="Heading2"/>
      </w:pPr>
      <w:r>
        <w:rPr>
          <w:b/>
          <w:bCs/>
          <w:rFonts w:hint="cs"/>
          <w:rtl/>
        </w:rPr>
        <w:t xml:space="preserve">ارزیابی کمّی در برابر Ground Truth</w:t>
      </w:r>
    </w:p>
    <w:p>
      <w:pPr>
        <w:pStyle w:val="Paragraph"/>
      </w:pPr>
      <w:r>
        <w:rPr>
          <w:rFonts w:hint="cs"/>
          <w:rtl/>
        </w:rPr>
        <w:t xml:space="preserve">برای ارزیابیِ کمّی، دیسک‌های یک زیرمجموعه‌ی مستقلِ ۱۱ عکسی با یک لوکیتورِ Hough-circle مجزا از پایپ‌لاینِ تحتِ ارزیابی شماره‌گذاری شدند—تا خطای سیستماتیکِ خودِ سیستم در حقیقتِ زمینی جذب نشود—و سپس هر دیسک توسط یک کارشناسِ آزمایشگاه، روی نسخه‌ی چاپیِ عکس، خوانده و ثبت شد (۹۳ دیسک؛ ۶۴ دارایِ قطرِ هاله‌ی ثبت‌شده، ۲۹ بدونِ هاله). ارزیابی با اجرایِ بدون‌تغییرِ نوت‌بوک روی هر عکس انجام و دیسک‌ها صرفاً بر اساسِ نزدیک‌ترینِ موقعیت (نه ترتیبِ داخلیِ پایپ‌لاین) تطبیق داده شدند. جدول ۲ نتایج را خلاصه می‌کند (خطای قطر با MAE، بایاس، و Bland–Altman </w:t>
      </w:r>
      <w:r>
        <w:t xml:space="preserve">[11]</w:t>
      </w:r>
      <w:r>
        <w:rPr>
          <w:rFonts w:hint="cs"/>
          <w:rtl/>
        </w:rPr>
        <w:t xml:space="preserve">)؛ این نتایج روی یک سیستمِ کاملاً مجزا نیز عیناً بازتولید شدند.</w:t>
      </w:r>
    </w:p>
    <w:p>
      <w:pPr>
        <w:pStyle w:val="TableTitle"/>
      </w:pPr>
      <w:r>
        <w:rPr>
          <w:rFonts w:hint="cs"/>
          <w:rtl/>
        </w:rPr>
        <w:t xml:space="preserve">جدول ۲: نتایجِ ارزیابیِ کمّی در برابرِ حقیقتِ زمینیِ کارشناسی (۱۱ عکس، ۹۳ دیسک).</w:t>
      </w:r>
    </w:p>
    <w:tbl>
      <w:tblPr>
        <w:bidiVisual/>
        <w:tblW w:w="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900"/>
      </w:tblGrid>
      <w:tr>
        <w:trPr>
          <w:cantSplit/>
          <w:tblHeader/>
        </w:trPr>
        <w:tc>
          <w:tcPr>
            <w:tcW w:w="2700" w:type="dxa"/>
            <w:shd w:val="clear" w:color="auto" w:fill="D9D9D9"/>
            <w:vAlign w:val="center"/>
          </w:tcPr>
          <w:p>
            <w:pPr>
              <w:bidi/>
              <w:jc w:val="center"/>
            </w:pPr>
            <w:r>
              <w:rPr>
                <w:sz w:val="15"/>
                <w:szCs w:val="15"/>
                <w:rFonts w:hint="cs"/>
                <w:rtl/>
              </w:rPr>
              <w:t xml:space="preserve">معیار</w:t>
            </w:r>
          </w:p>
        </w:tc>
        <w:tc>
          <w:tcPr>
            <w:tcW w:w="1900" w:type="dxa"/>
            <w:shd w:val="clear" w:color="auto" w:fill="D9D9D9"/>
            <w:vAlign w:val="center"/>
          </w:tcPr>
          <w:p>
            <w:pPr>
              <w:bidi/>
              <w:jc w:val="center"/>
            </w:pPr>
            <w:r>
              <w:rPr>
                <w:sz w:val="15"/>
                <w:szCs w:val="15"/>
                <w:rFonts w:hint="cs"/>
                <w:rtl/>
              </w:rPr>
              <w:t xml:space="preserve">مقدار</w:t>
            </w:r>
          </w:p>
        </w:tc>
      </w:tr>
      <w:tr>
        <w:trPr>
          <w:cantSplit/>
        </w:trPr>
        <w:tc>
          <w:tcPr>
            <w:tcW w:w="2700" w:type="dxa"/>
            <w:vAlign w:val="center"/>
          </w:tcPr>
          <w:p>
            <w:pPr>
              <w:bidi/>
              <w:jc w:val="center"/>
            </w:pPr>
            <w:r>
              <w:rPr>
                <w:sz w:val="15"/>
                <w:szCs w:val="15"/>
                <w:rFonts w:hint="cs"/>
                <w:rtl/>
              </w:rPr>
              <w:t xml:space="preserve">تشخیصِ ظرفِ پتری (۱۱ عکس)</w:t>
            </w:r>
          </w:p>
        </w:tc>
        <w:tc>
          <w:tcPr>
            <w:tcW w:w="1900" w:type="dxa"/>
            <w:vAlign w:val="center"/>
          </w:tcPr>
          <w:p>
            <w:pPr>
              <w:bidi/>
              <w:jc w:val="center"/>
            </w:pPr>
            <w:r>
              <w:rPr>
                <w:sz w:val="15"/>
                <w:szCs w:val="15"/>
                <w:rFonts w:hint="cs"/>
                <w:rtl/>
              </w:rPr>
              <w:t xml:space="preserve">۱۱/۱۱ (۱۰۰٪)</w:t>
            </w:r>
          </w:p>
        </w:tc>
      </w:tr>
      <w:tr>
        <w:trPr>
          <w:cantSplit/>
        </w:trPr>
        <w:tc>
          <w:tcPr>
            <w:tcW w:w="2700" w:type="dxa"/>
            <w:vAlign w:val="center"/>
          </w:tcPr>
          <w:p>
            <w:pPr>
              <w:bidi/>
              <w:jc w:val="center"/>
            </w:pPr>
            <w:r>
              <w:rPr>
                <w:sz w:val="15"/>
                <w:szCs w:val="15"/>
                <w:rFonts w:hint="cs"/>
                <w:rtl/>
              </w:rPr>
              <w:t xml:space="preserve">تشخیصِ دیسک: Precision / Recall / F1 (۹۳ دیسک)</w:t>
            </w:r>
          </w:p>
        </w:tc>
        <w:tc>
          <w:tcPr>
            <w:tcW w:w="1900" w:type="dxa"/>
            <w:vAlign w:val="center"/>
          </w:tcPr>
          <w:p>
            <w:pPr>
              <w:bidi/>
              <w:jc w:val="center"/>
            </w:pPr>
            <w:r>
              <w:rPr>
                <w:sz w:val="15"/>
                <w:szCs w:val="15"/>
                <w:rFonts w:hint="cs"/>
                <w:rtl/>
              </w:rPr>
              <w:t xml:space="preserve">۰٫۹۸۹ / ۰٫۹۷۸ / ۰٫۹۸۴</w:t>
            </w:r>
          </w:p>
        </w:tc>
      </w:tr>
      <w:tr>
        <w:trPr>
          <w:cantSplit/>
        </w:trPr>
        <w:tc>
          <w:tcPr>
            <w:tcW w:w="2700" w:type="dxa"/>
            <w:vAlign w:val="center"/>
          </w:tcPr>
          <w:p>
            <w:pPr>
              <w:bidi/>
              <w:jc w:val="center"/>
            </w:pPr>
            <w:r>
              <w:rPr>
                <w:sz w:val="15"/>
                <w:szCs w:val="15"/>
                <w:rFonts w:hint="cs"/>
                <w:rtl/>
              </w:rPr>
              <w:t xml:space="preserve">حضورِ هاله: Accuracy / Precision / Recall (n=۹۱)</w:t>
            </w:r>
          </w:p>
        </w:tc>
        <w:tc>
          <w:tcPr>
            <w:tcW w:w="1900" w:type="dxa"/>
            <w:vAlign w:val="center"/>
          </w:tcPr>
          <w:p>
            <w:pPr>
              <w:bidi/>
              <w:jc w:val="center"/>
            </w:pPr>
            <w:r>
              <w:rPr>
                <w:sz w:val="15"/>
                <w:szCs w:val="15"/>
                <w:rFonts w:hint="cs"/>
                <w:rtl/>
              </w:rPr>
              <w:t xml:space="preserve">۰٫۷۸۰ / ۰٫۸۰۳ / ۰٫۹۰۵</w:t>
            </w:r>
          </w:p>
        </w:tc>
      </w:tr>
      <w:tr>
        <w:trPr>
          <w:cantSplit/>
        </w:trPr>
        <w:tc>
          <w:tcPr>
            <w:tcW w:w="2700" w:type="dxa"/>
            <w:vAlign w:val="center"/>
          </w:tcPr>
          <w:p>
            <w:pPr>
              <w:bidi/>
              <w:jc w:val="center"/>
            </w:pPr>
            <w:r>
              <w:rPr>
                <w:sz w:val="15"/>
                <w:szCs w:val="15"/>
                <w:rFonts w:hint="cs"/>
                <w:rtl/>
              </w:rPr>
              <w:t xml:space="preserve">قطرِ هاله: MAE / بایاس / حدودِ توافقِ ۹۵٪ (n=۵۷)</w:t>
            </w:r>
          </w:p>
        </w:tc>
        <w:tc>
          <w:tcPr>
            <w:tcW w:w="1900" w:type="dxa"/>
            <w:vAlign w:val="center"/>
          </w:tcPr>
          <w:p>
            <w:pPr>
              <w:bidi/>
              <w:jc w:val="center"/>
            </w:pPr>
            <w:r>
              <w:rPr>
                <w:sz w:val="15"/>
                <w:szCs w:val="15"/>
                <w:rFonts w:hint="cs"/>
                <w:rtl/>
              </w:rPr>
              <w:t xml:space="preserve">۵٫۵۰ / −۰٫۵۳ / [−۱۶٫۱،+۱۵٫۱] mm</w:t>
            </w:r>
          </w:p>
        </w:tc>
      </w:tr>
      <w:tr>
        <w:trPr>
          <w:cantSplit/>
        </w:trPr>
        <w:tc>
          <w:tcPr>
            <w:tcW w:w="2700" w:type="dxa"/>
            <w:vAlign w:val="center"/>
          </w:tcPr>
          <w:p>
            <w:pPr>
              <w:bidi/>
              <w:jc w:val="center"/>
            </w:pPr>
            <w:r>
              <w:rPr>
                <w:sz w:val="15"/>
                <w:szCs w:val="15"/>
                <w:rFonts w:hint="cs"/>
                <w:rtl/>
              </w:rPr>
              <w:t xml:space="preserve">قطرِ دیسک (خودسازگاری): MAE / بایاس (n=۹۱)</w:t>
            </w:r>
          </w:p>
        </w:tc>
        <w:tc>
          <w:tcPr>
            <w:tcW w:w="1900" w:type="dxa"/>
            <w:vAlign w:val="center"/>
          </w:tcPr>
          <w:p>
            <w:pPr>
              <w:bidi/>
              <w:jc w:val="center"/>
            </w:pPr>
            <w:r>
              <w:rPr>
                <w:sz w:val="15"/>
                <w:szCs w:val="15"/>
                <w:rFonts w:hint="cs"/>
                <w:rtl/>
              </w:rPr>
              <w:t xml:space="preserve">۰٫۱۷ / ۰٫۰۰ mm</w:t>
            </w:r>
          </w:p>
        </w:tc>
      </w:tr>
    </w:tbl>
    <w:p/>
    <w:p>
      <w:pPr>
        <w:pStyle w:val="Heading1"/>
      </w:pPr>
      <w:r>
        <w:rPr>
          <w:b/>
          <w:bCs/>
          <w:rFonts w:hint="cs"/>
          <w:rtl/>
        </w:rPr>
        <w:t xml:space="preserve">بحث</w:t>
      </w:r>
    </w:p>
    <w:p>
      <w:pPr>
        <w:pStyle w:val="Heading2"/>
      </w:pPr>
      <w:r>
        <w:rPr>
          <w:b/>
          <w:bCs/>
          <w:rFonts w:hint="cs"/>
          <w:rtl/>
        </w:rPr>
        <w:t xml:space="preserve">مقایسه‌ی طراحی‌های پذیرفته‌شده در برابر ردشده</w:t>
      </w:r>
    </w:p>
    <w:p>
      <w:pPr>
        <w:pStyle w:val="Paragraph"/>
      </w:pPr>
      <w:r>
        <w:rPr>
          <w:rFonts w:hint="cs"/>
          <w:rtl/>
        </w:rPr>
        <w:t xml:space="preserve">تصمیم‌های نهاییِ این پایپ‌لاین از آزمایشِ تجربیِ مقایسه‌ای به‌دست آمده‌اند، نه از اولین ایده. جدول ۳ مهم‌ترین طراحی‌های ردشده، دلیلِ ردشدن هرکدام، و طراحیِ نهاییِ جایگزین را خلاصه می‌کند؛ این رد‌شدن‌ها خودشان محتوای علمیِ معتبری‌اند.</w:t>
      </w:r>
    </w:p>
    <w:p>
      <w:pPr>
        <w:sectPr>
          <w:type w:val="continuous"/>
          <w:pgSz w:w="11906" w:h="16838" w:code="9"/>
          <w:pgMar w:top="1418" w:right="1134" w:bottom="1418" w:left="1134" w:header="851" w:footer="567" w:gutter="0"/>
          <w:cols w:num="2" w:space="340"/>
          <w:bidi/>
          <w:rtlGutter/>
        </w:sectPr>
      </w:pPr>
    </w:p>
    <w:p>
      <w:pPr>
        <w:pStyle w:val="TableTitle"/>
      </w:pPr>
      <w:r>
        <w:rPr>
          <w:rFonts w:hint="cs"/>
          <w:rtl/>
        </w:rPr>
        <w:t xml:space="preserve">جدول ۳: مقایسه‌ی طراحی‌های پذیرفته‌شده در برابر ردشده به تفکیک ماژول (خلاصه‌شده از تاریخچه‌ی توسعه).</w:t>
      </w:r>
    </w:p>
    <w:tbl>
      <w:tblPr>
        <w:bidiVisual/>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2700"/>
        <w:gridCol w:w="3200"/>
        <w:gridCol w:w="2438"/>
      </w:tblGrid>
      <w:tr>
        <w:trPr>
          <w:cantSplit/>
          <w:tblHeader/>
        </w:trPr>
        <w:tc>
          <w:tcPr>
            <w:tcW w:w="1300" w:type="dxa"/>
            <w:shd w:val="clear" w:color="auto" w:fill="D9D9D9"/>
            <w:vAlign w:val="center"/>
          </w:tcPr>
          <w:p>
            <w:pPr>
              <w:bidi/>
              <w:jc w:val="center"/>
            </w:pPr>
            <w:r>
              <w:rPr>
                <w:sz w:val="15"/>
                <w:szCs w:val="15"/>
                <w:rFonts w:hint="cs"/>
                <w:rtl/>
              </w:rPr>
              <w:t xml:space="preserve">ماژول</w:t>
            </w:r>
          </w:p>
        </w:tc>
        <w:tc>
          <w:tcPr>
            <w:tcW w:w="2700" w:type="dxa"/>
            <w:shd w:val="clear" w:color="auto" w:fill="D9D9D9"/>
            <w:vAlign w:val="center"/>
          </w:tcPr>
          <w:p>
            <w:pPr>
              <w:bidi/>
              <w:jc w:val="center"/>
            </w:pPr>
            <w:r>
              <w:rPr>
                <w:sz w:val="15"/>
                <w:szCs w:val="15"/>
                <w:rFonts w:hint="cs"/>
                <w:rtl/>
              </w:rPr>
              <w:t xml:space="preserve">طراحی ردشده</w:t>
            </w:r>
          </w:p>
        </w:tc>
        <w:tc>
          <w:tcPr>
            <w:tcW w:w="3200" w:type="dxa"/>
            <w:shd w:val="clear" w:color="auto" w:fill="D9D9D9"/>
            <w:vAlign w:val="center"/>
          </w:tcPr>
          <w:p>
            <w:pPr>
              <w:bidi/>
              <w:jc w:val="center"/>
            </w:pPr>
            <w:r>
              <w:rPr>
                <w:sz w:val="15"/>
                <w:szCs w:val="15"/>
                <w:rFonts w:hint="cs"/>
                <w:rtl/>
              </w:rPr>
              <w:t xml:space="preserve">دلیل رد</w:t>
            </w:r>
          </w:p>
        </w:tc>
        <w:tc>
          <w:tcPr>
            <w:tcW w:w="2438" w:type="dxa"/>
            <w:shd w:val="clear" w:color="auto" w:fill="D9D9D9"/>
            <w:vAlign w:val="center"/>
          </w:tcPr>
          <w:p>
            <w:pPr>
              <w:bidi/>
              <w:jc w:val="center"/>
            </w:pPr>
            <w:r>
              <w:rPr>
                <w:sz w:val="15"/>
                <w:szCs w:val="15"/>
                <w:rFonts w:hint="cs"/>
                <w:rtl/>
              </w:rPr>
              <w:t xml:space="preserve">طراحی نهایی</w:t>
            </w:r>
          </w:p>
        </w:tc>
      </w:tr>
      <w:tr>
        <w:trPr>
          <w:cantSplit/>
        </w:trPr>
        <w:tc>
          <w:tcPr>
            <w:tcW w:w="1300" w:type="dxa"/>
            <w:vAlign w:val="center"/>
          </w:tcPr>
          <w:p>
            <w:pPr>
              <w:bidi/>
              <w:jc w:val="center"/>
            </w:pPr>
            <w:r>
              <w:rPr>
                <w:sz w:val="15"/>
                <w:szCs w:val="15"/>
                <w:rFonts w:hint="cs"/>
                <w:rtl/>
              </w:rPr>
              <w:t xml:space="preserve">تشخیص پتری</w:t>
            </w:r>
          </w:p>
        </w:tc>
        <w:tc>
          <w:tcPr>
            <w:tcW w:w="2700" w:type="dxa"/>
            <w:vAlign w:val="center"/>
          </w:tcPr>
          <w:p>
            <w:pPr>
              <w:bidi/>
              <w:jc w:val="center"/>
            </w:pPr>
            <w:r>
              <w:rPr>
                <w:sz w:val="15"/>
                <w:szCs w:val="15"/>
                <w:rFonts w:hint="cs"/>
                <w:rtl/>
              </w:rPr>
              <w:t xml:space="preserve">شکستنِ پتری با واترشد (Watershed-splitting)</w:t>
            </w:r>
          </w:p>
        </w:tc>
        <w:tc>
          <w:tcPr>
            <w:tcW w:w="3200" w:type="dxa"/>
            <w:vAlign w:val="center"/>
          </w:tcPr>
          <w:p>
            <w:pPr>
              <w:bidi/>
              <w:jc w:val="center"/>
            </w:pPr>
            <w:r>
              <w:rPr>
                <w:sz w:val="15"/>
                <w:szCs w:val="15"/>
                <w:rFonts w:hint="cs"/>
                <w:rtl/>
              </w:rPr>
              <w:t xml:space="preserve">قله‌های کاذبِ تبدیل فاصله روی پتری‌های سالم—به‌ویژه مربعی—ظرفِ کامل را به قطعاتِ کوچک‌تر می‌شکست</w:t>
            </w:r>
          </w:p>
        </w:tc>
        <w:tc>
          <w:tcPr>
            <w:tcW w:w="2438" w:type="dxa"/>
            <w:vAlign w:val="center"/>
          </w:tcPr>
          <w:p>
            <w:pPr>
              <w:bidi/>
              <w:jc w:val="center"/>
            </w:pPr>
            <w:r>
              <w:rPr>
                <w:sz w:val="15"/>
                <w:szCs w:val="15"/>
                <w:rFonts w:hint="cs"/>
                <w:rtl/>
              </w:rPr>
              <w:t xml:space="preserve">سگمنتیشن ناحیه‌ای Multi-Otsu؛ هاف فقط تاییدکننده</w:t>
            </w:r>
          </w:p>
        </w:tc>
      </w:tr>
      <w:tr>
        <w:trPr>
          <w:cantSplit/>
        </w:trPr>
        <w:tc>
          <w:tcPr>
            <w:tcW w:w="1300" w:type="dxa"/>
            <w:vAlign w:val="center"/>
          </w:tcPr>
          <w:p>
            <w:pPr>
              <w:bidi/>
              <w:jc w:val="center"/>
            </w:pPr>
            <w:r>
              <w:rPr>
                <w:sz w:val="15"/>
                <w:szCs w:val="15"/>
                <w:rFonts w:hint="cs"/>
                <w:rtl/>
              </w:rPr>
              <w:t xml:space="preserve">تشخیص دیسک</w:t>
            </w:r>
          </w:p>
        </w:tc>
        <w:tc>
          <w:tcPr>
            <w:tcW w:w="2700" w:type="dxa"/>
            <w:vAlign w:val="center"/>
          </w:tcPr>
          <w:p>
            <w:pPr>
              <w:bidi/>
              <w:jc w:val="center"/>
            </w:pPr>
            <w:r>
              <w:rPr>
                <w:sz w:val="15"/>
                <w:szCs w:val="15"/>
                <w:rFonts w:hint="cs"/>
                <w:rtl/>
              </w:rPr>
              <w:t xml:space="preserve">ادغامِ سه‌شاخه‌ای (DT مستقل) + گیتِ سخت/دودویی + تاییدِ ظاهریِ مستقل</w:t>
            </w:r>
          </w:p>
        </w:tc>
        <w:tc>
          <w:tcPr>
            <w:tcW w:w="3200" w:type="dxa"/>
            <w:vAlign w:val="center"/>
          </w:tcPr>
          <w:p>
            <w:pPr>
              <w:bidi/>
              <w:jc w:val="center"/>
            </w:pPr>
            <w:r>
              <w:rPr>
                <w:sz w:val="15"/>
                <w:szCs w:val="15"/>
                <w:rFonts w:hint="cs"/>
                <w:rtl/>
              </w:rPr>
              <w:t xml:space="preserve">DT مستقل ناسازگار با مقیاس بود؛ گیت و تاییدِ ظاهری کاندیدهای معتبر را کاذب رد می‌کردند</w:t>
            </w:r>
          </w:p>
        </w:tc>
        <w:tc>
          <w:tcPr>
            <w:tcW w:w="2438" w:type="dxa"/>
            <w:vAlign w:val="center"/>
          </w:tcPr>
          <w:p>
            <w:pPr>
              <w:bidi/>
              <w:jc w:val="center"/>
            </w:pPr>
            <w:r>
              <w:rPr>
                <w:sz w:val="15"/>
                <w:szCs w:val="15"/>
                <w:rFonts w:hint="cs"/>
                <w:rtl/>
              </w:rPr>
              <w:t xml:space="preserve">ادغامِ دوشاخه‌ای (DT فقط ابزار)؛ تصمیم فقط بر پایه‌ی امتیازِ پیوسته</w:t>
            </w:r>
          </w:p>
        </w:tc>
      </w:tr>
      <w:tr>
        <w:trPr>
          <w:cantSplit/>
        </w:trP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گیتِ وجود/عدم‌وجود (۳ رویکرد) + GrabCut </w:t>
            </w:r>
            <w:r>
              <w:t xml:space="preserve">[10]</w:t>
            </w:r>
            <w:r>
              <w:rPr>
                <w:rFonts w:hint="cs"/>
                <w:rtl/>
              </w:rPr>
              <w:t xml:space="preserve"> + برازشِ سیگموئید</w:t>
            </w:r>
          </w:p>
        </w:tc>
        <w:tc>
          <w:tcPr>
            <w:tcW w:w="3200" w:type="dxa"/>
            <w:vAlign w:val="center"/>
          </w:tcPr>
          <w:p>
            <w:pPr>
              <w:bidi/>
              <w:jc w:val="center"/>
            </w:pPr>
            <w:r>
              <w:rPr>
                <w:sz w:val="15"/>
                <w:szCs w:val="15"/>
                <w:rFonts w:hint="cs"/>
                <w:rtl/>
              </w:rPr>
              <w:t xml:space="preserve">یا هاله‌های واقعی را حذف/نویز را می‌پذیرفتند، یا بدونِ لبه‌ی قوی نشتی/تیغه‌ی کاذب تولید می‌کردند</w:t>
            </w:r>
          </w:p>
        </w:tc>
        <w:tc>
          <w:tcPr>
            <w:tcW w:w="2438" w:type="dxa"/>
            <w:vAlign w:val="center"/>
          </w:tcPr>
          <w:p>
            <w:pPr>
              <w:bidi/>
              <w:jc w:val="center"/>
            </w:pPr>
            <w:r>
              <w:rPr>
                <w:sz w:val="15"/>
                <w:szCs w:val="15"/>
                <w:rFonts w:hint="cs"/>
                <w:rtl/>
              </w:rPr>
              <w:t xml:space="preserve">حذفِ گیتِ وجود؛ پروفایلِ شعاعیِ تجمیعی + همگراییِ دائمی + بسطِ per-angle</w:t>
            </w:r>
          </w:p>
        </w:tc>
      </w:tr>
      <w:tr>
        <w:trPr>
          <w:cantSplit/>
        </w:trP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پیشنهادِ کاربر: میانه‌ی ۳۶ کمانِ ده‌درجه + رشدِ دایره + سقفِ EUCAST</w:t>
            </w:r>
          </w:p>
        </w:tc>
        <w:tc>
          <w:tcPr>
            <w:tcW w:w="3200" w:type="dxa"/>
            <w:vAlign w:val="center"/>
          </w:tcPr>
          <w:p>
            <w:pPr>
              <w:bidi/>
              <w:jc w:val="center"/>
            </w:pPr>
            <w:r>
              <w:rPr>
                <w:sz w:val="15"/>
                <w:szCs w:val="15"/>
                <w:rFonts w:hint="cs"/>
                <w:rtl/>
              </w:rPr>
              <w:t xml:space="preserve">نویزِ per-arc بالاتر از پروفایلِ تجمیعی؛ استانداردِ عمومیِ فاصله‌ی بین‌دیسکی در EUCAST یافت نشد</w:t>
            </w:r>
          </w:p>
        </w:tc>
        <w:tc>
          <w:tcPr>
            <w:tcW w:w="2438" w:type="dxa"/>
            <w:vAlign w:val="center"/>
          </w:tcPr>
          <w:p>
            <w:pPr>
              <w:bidi/>
              <w:jc w:val="center"/>
            </w:pPr>
            <w:r>
              <w:rPr>
                <w:sz w:val="15"/>
                <w:szCs w:val="15"/>
                <w:rFonts w:hint="cs"/>
                <w:rtl/>
              </w:rPr>
              <w:t xml:space="preserve">سقف‌های هندسیِ مخصوصِ همان تصویر (Voronoi+لبه‌ی پتری) دقیق‌تر بودند</w:t>
            </w:r>
          </w:p>
        </w:tc>
      </w:tr>
    </w:tbl>
    <w:p/>
    <w:p>
      <w:pPr>
        <w:sectPr>
          <w:type w:val="continuous"/>
          <w:pgSz w:w="11906" w:h="16838" w:code="9"/>
          <w:pgMar w:top="1418" w:right="1134" w:bottom="1418" w:left="1134" w:header="851" w:footer="567" w:gutter="0"/>
          <w:cols w:num="1"/>
          <w:bidi/>
          <w:rtlGutter/>
        </w:sectPr>
      </w:pPr>
    </w:p>
    <w:p>
      <w:pPr>
        <w:pStyle w:val="Heading2"/>
      </w:pPr>
      <w:r>
        <w:rPr>
          <w:b/>
          <w:bCs/>
          <w:rFonts w:hint="cs"/>
          <w:rtl/>
        </w:rPr>
        <w:t xml:space="preserve">همخوانی با استاندارد خواندن EUCAST</w:t>
      </w:r>
    </w:p>
    <w:p>
      <w:pPr>
        <w:pStyle w:val="Paragraph"/>
      </w:pPr>
      <w:r>
        <w:rPr>
          <w:rFonts w:hint="cs"/>
          <w:rtl/>
        </w:rPr>
        <w:t xml:space="preserve">متنِ رسمیِ EUCAST </w:t>
      </w:r>
      <w:r>
        <w:t xml:space="preserve">[7]</w:t>
      </w:r>
      <w:r>
        <w:rPr>
          <w:rFonts w:hint="cs"/>
          <w:rtl/>
        </w:rPr>
        <w:t xml:space="preserve"> مرزِ هاله را «نقطه‌ی نمایانگرِ عدمِ‌رشد» تعریف می‌کند—دقیقاً همان چیزی که معیارِ «همگراییِ دائمی به پس‌زمینه»ی این پایپ‌لاین (بخش ۲-۵) به‌صورت آماری مدل می‌کند. با این حال، روشِ استانداردِ خواندن (از پشتِ پتری) با روشِ عکس‌برداریِ این مجموعه‌داده (نورِ مستقیم) یکسان نیست؛ این عدمِ‌تطابق می‌تواند توضیح‌دهنده‌ی بخشی از رخدادهای موضعیِ نویزی باشد.</w:t>
      </w:r>
    </w:p>
    <w:p>
      <w:pPr>
        <w:pStyle w:val="Heading2"/>
      </w:pPr>
      <w:r>
        <w:rPr>
          <w:b/>
          <w:bCs/>
          <w:rFonts w:hint="cs"/>
          <w:rtl/>
        </w:rPr>
        <w:t xml:space="preserve">محدودیت‌ها</w:t>
      </w:r>
    </w:p>
    <w:p>
      <w:pPr>
        <w:pStyle w:val="Paragraph"/>
      </w:pPr>
      <w:r>
        <w:rPr>
          <w:rFonts w:hint="cs"/>
          <w:rtl/>
        </w:rPr>
        <w:t xml:space="preserve">حجمِ نمونه‌ی ارزیابیِ کمّی (۱۱ عکس، ۹۳ دیسک) محدود است—توصیفِ اولیه‌ی دقت، نه اعتبارسنجیِ قطعی. خطایِ قطرِ هاله متوسط است (MAE=۵٫۵mm، عمدتاً نشتِ سیگنال/vignetting)، و آستانه‌ی گیتِ حضور Recall را به‌نفعِ Precision معامله می‌کند. ماژولِ تشخیصِ پتری روی یک عکسِ خاص همچنان دچارِ تقسیمِ کاذب است (عمداً رفع‌نشده)؛ ماژولِ حباب کارِ در حالِ انجام است؛ طبقه‌بندیِ EUCAST پیاده‌سازی نشده؛ و جزئیاتِ ترکیبِ نمونه‌ها مستند نشده‌اند.</w:t>
      </w:r>
    </w:p>
    <w:p>
      <w:pPr>
        <w:pStyle w:val="Heading1"/>
      </w:pPr>
      <w:r>
        <w:rPr>
          <w:b/>
          <w:bCs/>
          <w:rFonts w:hint="cs"/>
          <w:rtl/>
        </w:rPr>
        <w:t xml:space="preserve">نتیجه‌گیری</w:t>
      </w:r>
    </w:p>
    <w:p>
      <w:pPr>
        <w:pStyle w:val="Paragraph"/>
      </w:pPr>
      <w:r>
        <w:rPr>
          <w:rFonts w:hint="cs"/>
          <w:rtl/>
        </w:rPr>
        <w:t xml:space="preserve">در این مقاله یک پایپ‌لاینِ کاملاً کلاسیکِ بینایی ماشین برای تشخیص و اندازه‌گیریِ خودکارِ آنتی‌بایوگرامِ دیسک-دیفیوژن از روی تصویرِ تلفن‌همراه ارائه شد که ظرفِ پتری، دیسک‌های آنتی‌بیوتیک، مرزِ هاله‌ی بازدارندگی و رخدادهای غیرعادیِ داخلِ هاله را تشخیص می‌دهد؛ طراحیِ نهایی حاصلِ چندین دورِ آزمایشِ تجربیِ مقایسه‌ای است (جدول ۳)، و معیارِ نهاییِ مرزِ هاله با تعریفِ رسمیِ EUCAST هم‌راستاست. ارزیابیِ کمّی در برابرِ حقیقتِ زمینیِ کارشناسی (بخش ۳-۱) F1=۰٫۹۸۴ برایِ تشخیصِ دیسک و MAE=۵٫۵۰mm برایِ قطرِ هاله نشان داد، با بازتولیدِ مستقل روی سیستمی مجزا. کارِ آینده شاملِ بزرگ‌ترکردنِ دیتاستِ مرجع، طبقه‌بندیِ حساس/متوسط/مقاوم بر اساسِ EUCAST، بهبودِ توازنِ Recall/Precision در تشخیصِ حضورِ هاله، تکمیلِ ماژولِ حباب، و ترجمه‌ی پایپ‌لاین به ++C خواهد بود.</w:t>
      </w:r>
    </w:p>
    <w:p>
      <w:pPr>
        <w:sectPr>
          <w:type w:val="continuous"/>
          <w:pgSz w:w="11906" w:h="16838" w:code="9"/>
          <w:pgMar w:top="1418" w:right="1134" w:bottom="1418" w:left="1134" w:header="851" w:footer="567" w:gutter="0"/>
          <w:cols w:num="2" w:space="340"/>
          <w:bidi/>
          <w:rtlGutter/>
        </w:sectPr>
      </w:pPr>
    </w:p>
    <w:p>
      <w:pPr>
        <w:pStyle w:val="Heading"/>
      </w:pPr>
      <w:r>
        <w:rPr>
          <w:b/>
          <w:bCs/>
          <w:rFonts w:hint="cs"/>
          <w:rtl/>
        </w:rPr>
        <w:t xml:space="preserve">قدردانی</w:t>
      </w:r>
    </w:p>
    <w:p>
      <w:pPr>
        <w:pStyle w:val="Paragraph"/>
      </w:pPr>
      <w:r>
        <w:rPr>
          <w:rFonts w:hint="cs"/>
          <w:rtl/>
        </w:rPr>
        <w:t xml:space="preserve">[PLACEHOLDER: در صورت وجود حمایتِ مالی، آزمایشگاهی یا سازمانی، در این بخش ذکر شود.]</w:t>
      </w:r>
    </w:p>
    <w:p>
      <w:pPr>
        <w:pStyle w:val="Heading"/>
      </w:pPr>
      <w:r>
        <w:rPr>
          <w:b/>
          <w:bCs/>
          <w:rFonts w:hint="cs"/>
          <w:rtl/>
        </w:rPr>
        <w:t xml:space="preserve">مراجع</w:t>
      </w:r>
    </w:p>
    <w:p>
      <w:pPr>
        <w:pStyle w:val="References"/>
      </w:pPr>
      <w:r>
        <w:t xml:space="preserve">A. Gavoille, B. Bardy, and A. Andremont, “Measurement of inhibition zone diameter in disk susceptibility tests by computerized image analysis,” Comput. Biol. Med., vol. 24, no. 3, pp. 179–188, 1994.</w:t>
      </w:r>
    </w:p>
    <w:p>
      <w:pPr>
        <w:pStyle w:val="References"/>
      </w:pPr>
      <w:r>
        <w:t xml:space="preserve">H. S. Bhargav et al., “Measurement of the zone of inhibition of an antibiotic,” in Proc. IEEE 6th Int. Conf. Advanced Computing (IACC), 2016, pp. 409–414.</w:t>
      </w:r>
    </w:p>
    <w:p>
      <w:pPr>
        <w:pStyle w:val="References"/>
      </w:pPr>
      <w:r>
        <w:t xml:space="preserve">C. A. Alonso et al., “AntibiogramJ: A tool for analysing images from disk diffusion tests,” Comput. Methods Programs Biomed., vol. 143, pp. 159–169, 2017.</w:t>
      </w:r>
    </w:p>
    <w:p>
      <w:pPr>
        <w:pStyle w:val="References"/>
      </w:pPr>
      <w:r>
        <w:t xml:space="preserve">B. K. Priya et al., “Automatic inhibition zone diameter measurement for disc diffusion test using image segmentation,” IETE J. Res., vol. 69, no. 8, pp. 5708–5725, 2023.</w:t>
      </w:r>
    </w:p>
    <w:p>
      <w:pPr>
        <w:pStyle w:val="References"/>
      </w:pPr>
      <w:r>
        <w:t xml:space="preserve">M. Pascucci et al., “AI-based mobile application to fight antibiotic resistance,” Nat. Commun., vol. 12, art. no. 1173, 2021.</w:t>
      </w:r>
    </w:p>
    <w:p>
      <w:pPr>
        <w:pStyle w:val="References"/>
      </w:pPr>
      <w:r>
        <w:t xml:space="preserve">E. Gullu, S. Bora, and B. Beynek, “Exploiting image processing and AI techniques for the determination of antimicrobial susceptibility,” Appl. Sci., vol. 14, no. 9, art. no. 3950, 2024.</w:t>
      </w:r>
    </w:p>
    <w:p>
      <w:pPr>
        <w:pStyle w:val="References"/>
      </w:pPr>
      <w:r>
        <w:t xml:space="preserve">European Committee on Antimicrobial Susceptibility Testing (EUCAST), Breakpoint Tables for Interpretation of MICs and Zone Diameters, version 16.0, 2026.</w:t>
      </w:r>
    </w:p>
    <w:p>
      <w:pPr>
        <w:pStyle w:val="References"/>
      </w:pPr>
      <w:r>
        <w:t xml:space="preserve">R. C. Gonzalez and R. E. Woods, Digital Image Processing, 4th ed. Pearson, 2018.</w:t>
      </w:r>
    </w:p>
    <w:p>
      <w:pPr>
        <w:pStyle w:val="References"/>
      </w:pPr>
      <w:r>
        <w:t xml:space="preserve">N. Otsu, “A threshold selection method from gray-level histograms,” IEEE Trans. Syst., Man, Cybern., vol. 9, no. 1, pp. 62–66, 1979.</w:t>
      </w:r>
    </w:p>
    <w:p>
      <w:pPr>
        <w:pStyle w:val="References"/>
      </w:pPr>
      <w:r>
        <w:t xml:space="preserve">C. Rother, V. Kolmogorov, and A. Blake, “‘GrabCut’: Interactive foreground extraction using iterated graph cuts,” ACM Trans. Graph., vol. 23, no. 3, pp. 309–314, 2004.</w:t>
      </w:r>
    </w:p>
    <w:p>
      <w:pPr>
        <w:pStyle w:val="References"/>
      </w:pPr>
      <w:r>
        <w:t xml:space="preserve">J. M. Bland and D. G. Altman, “Statistical methods for assessing agreement between two methods of clinical measurement,” The Lancet, vol. 327, no. 8476, pp. 307–310, 1986.</w:t>
      </w:r>
    </w:p>
    <w:p>
      <w:pPr>
        <w:sectPr>
          <w:type w:val="continuous"/>
          <w:pgSz w:w="11906" w:h="16838" w:code="9"/>
          <w:pgMar w:top="1418" w:right="1134" w:bottom="1418" w:left="1134" w:header="851" w:footer="567" w:gutter="0"/>
          <w:cols w:num="1"/>
          <w:bidi/>
          <w:rtlGutter/>
        </w:sectPr>
      </w:pPr>
    </w:p>
    <w:p/>
    <w:sectPr w:rsidR="00316AD4" w:rsidSect="00143A72">
      <w:endnotePr>
        <w:numFmt w:val="lowerLetter"/>
      </w:endnotePr>
      <w:type w:val="continuous"/>
      <w:pgSz w:w="11906" w:h="16838" w:code="9"/>
      <w:pgMar w:top="1418" w:right="1134" w:bottom="1418" w:left="1134" w:header="851" w:footer="567" w:gutter="0"/>
      <w:cols w:num="2" w:space="340"/>
      <w:bidi/>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A1184A" w14:textId="77777777" w:rsidR="00B55B31" w:rsidRDefault="00B55B31">
      <w:r>
        <w:separator/>
      </w:r>
    </w:p>
    <w:p w14:paraId="412DC066" w14:textId="77777777" w:rsidR="00B55B31" w:rsidRDefault="00B55B31"/>
  </w:endnote>
  <w:endnote w:type="continuationSeparator" w:id="0">
    <w:p w14:paraId="56305094" w14:textId="77777777" w:rsidR="00B55B31" w:rsidRDefault="00B55B31">
      <w:r>
        <w:continuationSeparator/>
      </w:r>
    </w:p>
    <w:p w14:paraId="16900F4A" w14:textId="77777777" w:rsidR="00B55B31" w:rsidRDefault="00B55B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raditional Arabic">
    <w:altName w:val="Arial"/>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Nazanin">
    <w:altName w:val="Arial"/>
    <w:panose1 w:val="00000400000000000000"/>
    <w:charset w:val="B2"/>
    <w:family w:val="auto"/>
    <w:pitch w:val="variable"/>
    <w:sig w:usb0="00002001" w:usb1="00000000" w:usb2="00000000" w:usb3="00000000" w:csb0="00000040" w:csb1="00000000"/>
  </w:font>
  <w:font w:name="Lotus">
    <w:panose1 w:val="000004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6B02AE" w14:textId="77777777" w:rsidR="007D2685" w:rsidRDefault="00261AD7" w:rsidP="00D4263E">
    <w:pPr>
      <w:pStyle w:val="Footer"/>
      <w:framePr w:wrap="around" w:vAnchor="text" w:hAnchor="text" w:xAlign="center" w:y="1"/>
      <w:rPr>
        <w:rStyle w:val="PageNumber"/>
      </w:rPr>
    </w:pPr>
    <w:r>
      <w:rPr>
        <w:rStyle w:val="PageNumber"/>
        <w:rtl/>
      </w:rPr>
      <w:fldChar w:fldCharType="begin"/>
    </w:r>
    <w:r>
      <w:rPr>
        <w:rStyle w:val="PageNumber"/>
      </w:rPr>
      <w:instrText xml:space="preserve">PAGE  </w:instrText>
    </w:r>
    <w:r>
      <w:rPr>
        <w:rStyle w:val="PageNumber"/>
        <w:rtl/>
      </w:rPr>
      <w:fldChar w:fldCharType="separate"/>
    </w:r>
    <w:r>
      <w:rPr>
        <w:rStyle w:val="PageNumber"/>
        <w:noProof/>
        <w:rtl/>
      </w:rPr>
      <w:t>4</w:t>
    </w:r>
    <w:r>
      <w:rPr>
        <w:rStyle w:val="PageNumber"/>
        <w:rtl/>
      </w:rPr>
      <w:fldChar w:fldCharType="end"/>
    </w:r>
  </w:p>
  <w:p w14:paraId="7652B4FC" w14:textId="77777777" w:rsidR="007D2685" w:rsidRPr="001C5692" w:rsidRDefault="00261AD7" w:rsidP="00003AF1">
    <w:pPr>
      <w:pStyle w:val="Footer"/>
    </w:pPr>
    <w:r>
      <w:rPr>
        <w:rFonts w:hint="cs"/>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6D15B4" w14:textId="77777777" w:rsidR="00B55B31" w:rsidRDefault="00B55B31">
      <w:r>
        <w:separator/>
      </w:r>
    </w:p>
    <w:p w14:paraId="11E66BB1" w14:textId="77777777" w:rsidR="00B55B31" w:rsidRDefault="00B55B31"/>
  </w:footnote>
  <w:footnote w:type="continuationSeparator" w:id="0">
    <w:p w14:paraId="4B3F36A9" w14:textId="77777777" w:rsidR="00B55B31" w:rsidRDefault="00B55B31">
      <w:r>
        <w:continuationSeparator/>
      </w:r>
    </w:p>
    <w:p w14:paraId="5320E1A3" w14:textId="77777777" w:rsidR="00B55B31" w:rsidRDefault="00B55B3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3F04DD" w14:textId="77777777" w:rsidR="007D2685" w:rsidRDefault="00261AD7" w:rsidP="003A42DA">
    <w:pPr>
      <w:pStyle w:val="Header"/>
      <w:rPr>
        <w:rtl/>
        <w:lang w:bidi="fa-IR"/>
      </w:rPr>
    </w:pPr>
    <w:r>
      <w:tab/>
    </w:r>
    <w:r>
      <w:rPr>
        <w:rFonts w:hint="cs"/>
        <w:rtl/>
        <w:lang w:bidi="fa-IR"/>
      </w:rPr>
      <w:t>11 تا 13 بهمن 1384، دانشگاه شیراز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ED1EB1" w14:textId="77777777" w:rsidR="007D2685" w:rsidRDefault="007D268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A83EDEFC"/>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5B790036"/>
    <w:multiLevelType w:val="hybridMultilevel"/>
    <w:tmpl w:val="617061B2"/>
    <w:lvl w:ilvl="0" w:tplc="AA701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D506BC"/>
    <w:multiLevelType w:val="hybridMultilevel"/>
    <w:tmpl w:val="00BC7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9"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30"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31"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827553824">
    <w:abstractNumId w:val="30"/>
  </w:num>
  <w:num w:numId="2" w16cid:durableId="1688630343">
    <w:abstractNumId w:val="28"/>
  </w:num>
  <w:num w:numId="3" w16cid:durableId="686758279">
    <w:abstractNumId w:val="10"/>
  </w:num>
  <w:num w:numId="4" w16cid:durableId="1960065994">
    <w:abstractNumId w:val="23"/>
  </w:num>
  <w:num w:numId="5" w16cid:durableId="179272265">
    <w:abstractNumId w:val="14"/>
  </w:num>
  <w:num w:numId="6" w16cid:durableId="1621767847">
    <w:abstractNumId w:val="13"/>
  </w:num>
  <w:num w:numId="7" w16cid:durableId="1267426893">
    <w:abstractNumId w:val="21"/>
  </w:num>
  <w:num w:numId="8" w16cid:durableId="9793768">
    <w:abstractNumId w:val="19"/>
  </w:num>
  <w:num w:numId="9" w16cid:durableId="371267654">
    <w:abstractNumId w:val="12"/>
  </w:num>
  <w:num w:numId="10" w16cid:durableId="1888642396">
    <w:abstractNumId w:val="16"/>
  </w:num>
  <w:num w:numId="11" w16cid:durableId="1614558246">
    <w:abstractNumId w:val="27"/>
  </w:num>
  <w:num w:numId="12" w16cid:durableId="1325087808">
    <w:abstractNumId w:val="17"/>
  </w:num>
  <w:num w:numId="13" w16cid:durableId="1236402206">
    <w:abstractNumId w:val="22"/>
  </w:num>
  <w:num w:numId="14" w16cid:durableId="1571689693">
    <w:abstractNumId w:val="24"/>
  </w:num>
  <w:num w:numId="15" w16cid:durableId="934750929">
    <w:abstractNumId w:val="15"/>
  </w:num>
  <w:num w:numId="16" w16cid:durableId="905993602">
    <w:abstractNumId w:val="20"/>
  </w:num>
  <w:num w:numId="17" w16cid:durableId="1447507944">
    <w:abstractNumId w:val="29"/>
  </w:num>
  <w:num w:numId="18" w16cid:durableId="280385155">
    <w:abstractNumId w:val="11"/>
  </w:num>
  <w:num w:numId="19" w16cid:durableId="1073356505">
    <w:abstractNumId w:val="31"/>
  </w:num>
  <w:num w:numId="20" w16cid:durableId="560673890">
    <w:abstractNumId w:val="18"/>
  </w:num>
  <w:num w:numId="21" w16cid:durableId="1119034414">
    <w:abstractNumId w:val="9"/>
  </w:num>
  <w:num w:numId="22" w16cid:durableId="1150906717">
    <w:abstractNumId w:val="7"/>
  </w:num>
  <w:num w:numId="23" w16cid:durableId="896161576">
    <w:abstractNumId w:val="6"/>
  </w:num>
  <w:num w:numId="24" w16cid:durableId="1286500967">
    <w:abstractNumId w:val="5"/>
  </w:num>
  <w:num w:numId="25" w16cid:durableId="213155482">
    <w:abstractNumId w:val="4"/>
  </w:num>
  <w:num w:numId="26" w16cid:durableId="1600409200">
    <w:abstractNumId w:val="8"/>
  </w:num>
  <w:num w:numId="27" w16cid:durableId="1795248455">
    <w:abstractNumId w:val="3"/>
  </w:num>
  <w:num w:numId="28" w16cid:durableId="1515455883">
    <w:abstractNumId w:val="2"/>
  </w:num>
  <w:num w:numId="29" w16cid:durableId="929776420">
    <w:abstractNumId w:val="1"/>
  </w:num>
  <w:num w:numId="30" w16cid:durableId="1153719735">
    <w:abstractNumId w:val="0"/>
  </w:num>
  <w:num w:numId="31" w16cid:durableId="1134105351">
    <w:abstractNumId w:val="26"/>
  </w:num>
  <w:num w:numId="32" w16cid:durableId="111713657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U3NDUyNjczNzU3MbZU0lEKTi0uzszPAykwrAUAJFanuiwAAAA="/>
  </w:docVars>
  <w:rsids>
    <w:rsidRoot w:val="00261AD7"/>
    <w:rsid w:val="00053682"/>
    <w:rsid w:val="00053A2D"/>
    <w:rsid w:val="001841B5"/>
    <w:rsid w:val="00194A64"/>
    <w:rsid w:val="001E6637"/>
    <w:rsid w:val="002050F0"/>
    <w:rsid w:val="00261AD7"/>
    <w:rsid w:val="00316AD4"/>
    <w:rsid w:val="0048007C"/>
    <w:rsid w:val="005E189E"/>
    <w:rsid w:val="00681D3F"/>
    <w:rsid w:val="007D2685"/>
    <w:rsid w:val="009A6324"/>
    <w:rsid w:val="00A83EEE"/>
    <w:rsid w:val="00B55B31"/>
    <w:rsid w:val="00B72C22"/>
    <w:rsid w:val="00CB1B6C"/>
    <w:rsid w:val="00CE29DA"/>
    <w:rsid w:val="00CF7B98"/>
    <w:rsid w:val="00E71824"/>
    <w:rsid w:val="00FE71E2"/>
    <w:rsid w:val="00FF61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71BD2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iPriority="99"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iPriority="99"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B Nazanin"/>
      <w:sz w:val="20"/>
      <w:szCs w:val="24"/>
    </w:rPr>
  </w:style>
  <w:style w:type="paragraph" w:styleId="Heading1">
    <w:name w:val="heading 1"/>
    <w:basedOn w:val="Normal"/>
    <w:link w:val="Heading1Char"/>
    <w:autoRedefine/>
    <w:qFormat/>
    <w:rsid w:val="00261AD7"/>
    <w:pPr>
      <w:keepNext/>
      <w:numPr>
        <w:numId w:val="6"/>
      </w:numPr>
      <w:spacing w:before="360" w:after="120"/>
      <w:ind w:left="357" w:hanging="357"/>
      <w:jc w:val="left"/>
      <w:outlineLvl w:val="0"/>
    </w:pPr>
    <w:rPr>
      <w:b/>
      <w:bCs/>
      <w:kern w:val="28"/>
      <w:sz w:val="24"/>
      <w:lang w:bidi="fa-IR"/>
    </w:rPr>
  </w:style>
  <w:style w:type="paragraph" w:styleId="Heading2">
    <w:name w:val="heading 2"/>
    <w:basedOn w:val="Heading1"/>
    <w:link w:val="Heading2Char"/>
    <w:autoRedefine/>
    <w:qFormat/>
    <w:rsid w:val="00261AD7"/>
    <w:pPr>
      <w:numPr>
        <w:ilvl w:val="1"/>
      </w:numPr>
      <w:spacing w:before="240" w:after="60"/>
      <w:outlineLvl w:val="1"/>
    </w:pPr>
  </w:style>
  <w:style w:type="paragraph" w:styleId="Heading3">
    <w:name w:val="heading 3"/>
    <w:basedOn w:val="Heading2"/>
    <w:link w:val="Heading3Char"/>
    <w:autoRedefine/>
    <w:qFormat/>
    <w:rsid w:val="00261AD7"/>
    <w:pPr>
      <w:numPr>
        <w:ilvl w:val="2"/>
        <w:numId w:val="16"/>
      </w:numPr>
      <w:outlineLvl w:val="2"/>
    </w:pPr>
    <w:rPr>
      <w:smallCaps/>
      <w:szCs w:val="22"/>
    </w:rPr>
  </w:style>
  <w:style w:type="paragraph" w:styleId="Heading4">
    <w:name w:val="heading 4"/>
    <w:basedOn w:val="Normal"/>
    <w:next w:val="Normal"/>
    <w:link w:val="Heading4Char"/>
    <w:qFormat/>
    <w:rsid w:val="00261AD7"/>
    <w:pPr>
      <w:keepNext/>
      <w:spacing w:before="120" w:after="60"/>
      <w:outlineLvl w:val="3"/>
    </w:pPr>
    <w:rPr>
      <w:i/>
      <w:sz w:val="18"/>
    </w:rPr>
  </w:style>
  <w:style w:type="paragraph" w:styleId="Heading5">
    <w:name w:val="heading 5"/>
    <w:basedOn w:val="Normal"/>
    <w:next w:val="Normal"/>
    <w:link w:val="Heading5Char"/>
    <w:qFormat/>
    <w:rsid w:val="00261AD7"/>
    <w:pPr>
      <w:spacing w:before="240" w:after="60"/>
      <w:outlineLvl w:val="4"/>
    </w:pPr>
    <w:rPr>
      <w:rFonts w:cs="Times New Roman"/>
      <w:sz w:val="18"/>
      <w:szCs w:val="18"/>
    </w:rPr>
  </w:style>
  <w:style w:type="paragraph" w:styleId="Heading6">
    <w:name w:val="heading 6"/>
    <w:basedOn w:val="Normal"/>
    <w:next w:val="Normal"/>
    <w:link w:val="Heading6Char"/>
    <w:qFormat/>
    <w:rsid w:val="00261AD7"/>
    <w:pPr>
      <w:spacing w:before="240" w:after="60"/>
      <w:outlineLvl w:val="5"/>
    </w:pPr>
    <w:rPr>
      <w:rFonts w:cs="Times New Roman"/>
      <w:i/>
      <w:iCs/>
      <w:sz w:val="16"/>
      <w:szCs w:val="16"/>
    </w:rPr>
  </w:style>
  <w:style w:type="paragraph" w:styleId="Heading7">
    <w:name w:val="heading 7"/>
    <w:basedOn w:val="Normal"/>
    <w:next w:val="Normal"/>
    <w:link w:val="Heading7Char"/>
    <w:qFormat/>
    <w:rsid w:val="00261AD7"/>
    <w:pPr>
      <w:spacing w:before="240" w:after="60"/>
      <w:outlineLvl w:val="6"/>
    </w:pPr>
    <w:rPr>
      <w:rFonts w:cs="Times New Roman"/>
      <w:sz w:val="16"/>
      <w:szCs w:val="16"/>
    </w:rPr>
  </w:style>
  <w:style w:type="paragraph" w:styleId="Heading8">
    <w:name w:val="heading 8"/>
    <w:basedOn w:val="Normal"/>
    <w:next w:val="Normal"/>
    <w:link w:val="Heading8Char"/>
    <w:qFormat/>
    <w:rsid w:val="00261AD7"/>
    <w:pPr>
      <w:spacing w:before="240" w:after="60"/>
      <w:outlineLvl w:val="7"/>
    </w:pPr>
    <w:rPr>
      <w:rFonts w:cs="Times New Roman"/>
      <w:i/>
      <w:iCs/>
      <w:sz w:val="16"/>
      <w:szCs w:val="16"/>
    </w:rPr>
  </w:style>
  <w:style w:type="paragraph" w:styleId="Heading9">
    <w:name w:val="heading 9"/>
    <w:basedOn w:val="Normal"/>
    <w:next w:val="Normal"/>
    <w:link w:val="Heading9Char"/>
    <w:qFormat/>
    <w:rsid w:val="00261AD7"/>
    <w:pPr>
      <w:spacing w:before="240" w:after="60"/>
      <w:outlineLvl w:val="8"/>
    </w:pPr>
    <w:rPr>
      <w:rFonts w:cs="Times New Roman"/>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61AD7"/>
    <w:rPr>
      <w:rFonts w:ascii="Times New Roman" w:eastAsia="Times New Roman" w:hAnsi="Times New Roman" w:cs="B Nazanin"/>
      <w:b/>
      <w:bCs/>
      <w:kern w:val="28"/>
      <w:sz w:val="24"/>
      <w:szCs w:val="24"/>
      <w:lang w:bidi="fa-IR"/>
    </w:rPr>
  </w:style>
  <w:style w:type="character" w:customStyle="1" w:styleId="Heading2Char">
    <w:name w:val="Heading 2 Char"/>
    <w:basedOn w:val="DefaultParagraphFont"/>
    <w:link w:val="Heading2"/>
    <w:rsid w:val="00261AD7"/>
    <w:rPr>
      <w:rFonts w:ascii="Times New Roman" w:eastAsia="Times New Roman" w:hAnsi="Times New Roman" w:cs="B Nazanin"/>
      <w:b/>
      <w:bCs/>
      <w:kern w:val="28"/>
      <w:sz w:val="24"/>
      <w:szCs w:val="24"/>
      <w:lang w:bidi="fa-IR"/>
    </w:rPr>
  </w:style>
  <w:style w:type="character" w:customStyle="1" w:styleId="Heading3Char">
    <w:name w:val="Heading 3 Char"/>
    <w:basedOn w:val="DefaultParagraphFont"/>
    <w:link w:val="Heading3"/>
    <w:rsid w:val="00261AD7"/>
    <w:rPr>
      <w:rFonts w:ascii="Times New Roman" w:eastAsia="Times New Roman" w:hAnsi="Times New Roman" w:cs="B Nazanin"/>
      <w:b/>
      <w:bCs/>
      <w:smallCaps/>
      <w:kern w:val="28"/>
      <w:sz w:val="24"/>
      <w:lang w:bidi="fa-IR"/>
    </w:rPr>
  </w:style>
  <w:style w:type="character" w:customStyle="1" w:styleId="Heading4Char">
    <w:name w:val="Heading 4 Char"/>
    <w:basedOn w:val="DefaultParagraphFont"/>
    <w:link w:val="Heading4"/>
    <w:rsid w:val="00261AD7"/>
    <w:rPr>
      <w:rFonts w:ascii="Times New Roman" w:eastAsia="Times New Roman" w:hAnsi="Times New Roman" w:cs="B Nazanin"/>
      <w:i/>
      <w:sz w:val="18"/>
      <w:szCs w:val="24"/>
    </w:rPr>
  </w:style>
  <w:style w:type="character" w:customStyle="1" w:styleId="Heading5Char">
    <w:name w:val="Heading 5 Char"/>
    <w:basedOn w:val="DefaultParagraphFont"/>
    <w:link w:val="Heading5"/>
    <w:rsid w:val="00261AD7"/>
    <w:rPr>
      <w:rFonts w:ascii="Times New Roman" w:eastAsia="Times New Roman" w:hAnsi="Times New Roman" w:cs="Times New Roman"/>
      <w:sz w:val="18"/>
      <w:szCs w:val="18"/>
    </w:rPr>
  </w:style>
  <w:style w:type="character" w:customStyle="1" w:styleId="Heading6Char">
    <w:name w:val="Heading 6 Char"/>
    <w:basedOn w:val="DefaultParagraphFont"/>
    <w:link w:val="Heading6"/>
    <w:rsid w:val="00261AD7"/>
    <w:rPr>
      <w:rFonts w:ascii="Times New Roman" w:eastAsia="Times New Roman" w:hAnsi="Times New Roman" w:cs="Times New Roman"/>
      <w:i/>
      <w:iCs/>
      <w:sz w:val="16"/>
      <w:szCs w:val="16"/>
    </w:rPr>
  </w:style>
  <w:style w:type="character" w:customStyle="1" w:styleId="Heading7Char">
    <w:name w:val="Heading 7 Char"/>
    <w:basedOn w:val="DefaultParagraphFont"/>
    <w:link w:val="Heading7"/>
    <w:rsid w:val="00261AD7"/>
    <w:rPr>
      <w:rFonts w:ascii="Times New Roman" w:eastAsia="Times New Roman" w:hAnsi="Times New Roman" w:cs="Times New Roman"/>
      <w:sz w:val="16"/>
      <w:szCs w:val="16"/>
    </w:rPr>
  </w:style>
  <w:style w:type="character" w:customStyle="1" w:styleId="Heading8Char">
    <w:name w:val="Heading 8 Char"/>
    <w:basedOn w:val="DefaultParagraphFont"/>
    <w:link w:val="Heading8"/>
    <w:rsid w:val="00261AD7"/>
    <w:rPr>
      <w:rFonts w:ascii="Times New Roman" w:eastAsia="Times New Roman" w:hAnsi="Times New Roman" w:cs="Times New Roman"/>
      <w:i/>
      <w:iCs/>
      <w:sz w:val="16"/>
      <w:szCs w:val="16"/>
    </w:rPr>
  </w:style>
  <w:style w:type="character" w:customStyle="1" w:styleId="Heading9Char">
    <w:name w:val="Heading 9 Char"/>
    <w:basedOn w:val="DefaultParagraphFont"/>
    <w:link w:val="Heading9"/>
    <w:rsid w:val="00261AD7"/>
    <w:rPr>
      <w:rFonts w:ascii="Times New Roman" w:eastAsia="Times New Roman" w:hAnsi="Times New Roman" w:cs="Times New Roman"/>
      <w:sz w:val="16"/>
      <w:szCs w:val="16"/>
    </w:rPr>
  </w:style>
  <w:style w:type="paragraph" w:styleId="PlainText">
    <w:name w:val="Plain Text"/>
    <w:basedOn w:val="Normal"/>
    <w:link w:val="PlainTextChar"/>
    <w:autoRedefine/>
    <w:semiHidden/>
    <w:rsid w:val="00261AD7"/>
  </w:style>
  <w:style w:type="character" w:customStyle="1" w:styleId="PlainTextChar">
    <w:name w:val="Plain Text Char"/>
    <w:basedOn w:val="DefaultParagraphFont"/>
    <w:link w:val="PlainText"/>
    <w:semiHidden/>
    <w:rsid w:val="00261AD7"/>
    <w:rPr>
      <w:rFonts w:ascii="Times New Roman" w:eastAsia="Times New Roman" w:hAnsi="Times New Roman" w:cs="B Nazanin"/>
      <w:sz w:val="20"/>
      <w:szCs w:val="24"/>
    </w:rPr>
  </w:style>
  <w:style w:type="paragraph" w:styleId="FootnoteText">
    <w:name w:val="footnote text"/>
    <w:basedOn w:val="Normal"/>
    <w:link w:val="FootnoteTextChar"/>
    <w:rsid w:val="00261AD7"/>
    <w:pPr>
      <w:bidi w:val="0"/>
      <w:spacing w:line="252" w:lineRule="auto"/>
      <w:ind w:firstLine="202"/>
    </w:pPr>
    <w:rPr>
      <w:sz w:val="16"/>
      <w:szCs w:val="20"/>
    </w:rPr>
  </w:style>
  <w:style w:type="character" w:customStyle="1" w:styleId="FootnoteTextChar">
    <w:name w:val="Footnote Text Char"/>
    <w:basedOn w:val="DefaultParagraphFont"/>
    <w:link w:val="FootnoteText"/>
    <w:rsid w:val="00261AD7"/>
    <w:rPr>
      <w:rFonts w:ascii="Times New Roman" w:eastAsia="Times New Roman" w:hAnsi="Times New Roman" w:cs="B Nazanin"/>
      <w:sz w:val="16"/>
      <w:szCs w:val="20"/>
    </w:rPr>
  </w:style>
  <w:style w:type="character" w:styleId="FootnoteReference">
    <w:name w:val="footnote reference"/>
    <w:rsid w:val="00261AD7"/>
    <w:rPr>
      <w:rFonts w:ascii="Times New Roman" w:hAnsi="Times New Roman" w:cs="B Nazanin"/>
      <w:sz w:val="16"/>
      <w:szCs w:val="20"/>
      <w:vertAlign w:val="superscript"/>
    </w:rPr>
  </w:style>
  <w:style w:type="paragraph" w:styleId="Header">
    <w:name w:val="header"/>
    <w:basedOn w:val="Normal"/>
    <w:link w:val="HeaderChar"/>
    <w:autoRedefine/>
    <w:rsid w:val="00261AD7"/>
    <w:pPr>
      <w:tabs>
        <w:tab w:val="right" w:pos="9072"/>
      </w:tabs>
    </w:pPr>
  </w:style>
  <w:style w:type="character" w:customStyle="1" w:styleId="HeaderChar">
    <w:name w:val="Header Char"/>
    <w:basedOn w:val="DefaultParagraphFont"/>
    <w:link w:val="Header"/>
    <w:rsid w:val="00261AD7"/>
    <w:rPr>
      <w:rFonts w:ascii="Times New Roman" w:eastAsia="Times New Roman" w:hAnsi="Times New Roman" w:cs="B Nazanin"/>
      <w:sz w:val="20"/>
      <w:szCs w:val="24"/>
    </w:rPr>
  </w:style>
  <w:style w:type="paragraph" w:styleId="Footer">
    <w:name w:val="footer"/>
    <w:basedOn w:val="Normal"/>
    <w:link w:val="FooterChar"/>
    <w:autoRedefine/>
    <w:rsid w:val="00261AD7"/>
    <w:pPr>
      <w:tabs>
        <w:tab w:val="center" w:pos="4536"/>
        <w:tab w:val="right" w:pos="9072"/>
      </w:tabs>
    </w:pPr>
    <w:rPr>
      <w:lang w:bidi="fa-IR"/>
    </w:rPr>
  </w:style>
  <w:style w:type="character" w:customStyle="1" w:styleId="FooterChar">
    <w:name w:val="Footer Char"/>
    <w:basedOn w:val="DefaultParagraphFont"/>
    <w:link w:val="Footer"/>
    <w:rsid w:val="00261AD7"/>
    <w:rPr>
      <w:rFonts w:ascii="Times New Roman" w:eastAsia="Times New Roman" w:hAnsi="Times New Roman" w:cs="B Nazanin"/>
      <w:sz w:val="20"/>
      <w:szCs w:val="24"/>
      <w:lang w:bidi="fa-IR"/>
    </w:rPr>
  </w:style>
  <w:style w:type="paragraph" w:styleId="Title">
    <w:name w:val="Title"/>
    <w:basedOn w:val="Normal"/>
    <w:link w:val="TitleChar"/>
    <w:autoRedefine/>
    <w:qFormat/>
    <w:rsid w:val="00261AD7"/>
    <w:pPr>
      <w:spacing w:before="1200"/>
      <w:jc w:val="center"/>
    </w:pPr>
    <w:rPr>
      <w:b/>
      <w:bCs/>
      <w:kern w:val="28"/>
      <w:sz w:val="28"/>
      <w:szCs w:val="32"/>
      <w:lang w:bidi="fa-IR"/>
    </w:rPr>
  </w:style>
  <w:style w:type="character" w:customStyle="1" w:styleId="TitleChar">
    <w:name w:val="Title Char"/>
    <w:basedOn w:val="DefaultParagraphFont"/>
    <w:link w:val="Title"/>
    <w:rsid w:val="00261AD7"/>
    <w:rPr>
      <w:rFonts w:ascii="Times New Roman" w:eastAsia="Times New Roman" w:hAnsi="Times New Roman" w:cs="B Nazanin"/>
      <w:b/>
      <w:bCs/>
      <w:kern w:val="28"/>
      <w:sz w:val="28"/>
      <w:szCs w:val="32"/>
      <w:lang w:bidi="fa-IR"/>
    </w:rPr>
  </w:style>
  <w:style w:type="paragraph" w:customStyle="1" w:styleId="Authors">
    <w:name w:val="Authors"/>
    <w:basedOn w:val="Normal"/>
    <w:autoRedefine/>
    <w:rsid w:val="00261AD7"/>
    <w:pPr>
      <w:framePr w:wrap="around" w:vAnchor="text" w:hAnchor="text" w:xAlign="center" w:y="1"/>
      <w:jc w:val="center"/>
    </w:pPr>
    <w:rPr>
      <w:lang w:bidi="fa-IR"/>
    </w:rPr>
  </w:style>
  <w:style w:type="character" w:styleId="Hyperlink">
    <w:name w:val="Hyperlink"/>
    <w:semiHidden/>
    <w:rsid w:val="00261AD7"/>
    <w:rPr>
      <w:color w:val="0000FF"/>
      <w:u w:val="single"/>
    </w:rPr>
  </w:style>
  <w:style w:type="paragraph" w:customStyle="1" w:styleId="Paragraph">
    <w:name w:val="Paragraph"/>
    <w:basedOn w:val="Normal"/>
    <w:link w:val="ParagraphChar"/>
    <w:autoRedefine/>
    <w:rsid w:val="00261AD7"/>
    <w:pPr>
      <w:widowControl w:val="0"/>
      <w:ind w:firstLine="340"/>
      <w:jc w:val="lowKashida"/>
    </w:pPr>
    <w:rPr>
      <w:lang w:bidi="fa-IR"/>
    </w:rPr>
  </w:style>
  <w:style w:type="paragraph" w:customStyle="1" w:styleId="References">
    <w:name w:val="References"/>
    <w:basedOn w:val="Normal"/>
    <w:rsid w:val="00261AD7"/>
    <w:pPr>
      <w:numPr>
        <w:numId w:val="4"/>
      </w:numPr>
      <w:bidi w:val="0"/>
    </w:pPr>
    <w:rPr>
      <w:rFonts w:cs="Times New Roman"/>
      <w:sz w:val="16"/>
      <w:szCs w:val="20"/>
      <w:lang w:bidi="fa-IR"/>
    </w:rPr>
  </w:style>
  <w:style w:type="character" w:styleId="PageNumber">
    <w:name w:val="page number"/>
    <w:rsid w:val="00261AD7"/>
    <w:rPr>
      <w:rFonts w:ascii="Times New Roman" w:hAnsi="Times New Roman" w:cs="B Nazanin"/>
      <w:sz w:val="20"/>
      <w:szCs w:val="24"/>
      <w:lang w:bidi="fa-IR"/>
    </w:rPr>
  </w:style>
  <w:style w:type="paragraph" w:customStyle="1" w:styleId="Abstract">
    <w:name w:val="Abstract"/>
    <w:basedOn w:val="Normal"/>
    <w:autoRedefine/>
    <w:rsid w:val="00261AD7"/>
    <w:pPr>
      <w:overflowPunct/>
      <w:autoSpaceDE/>
      <w:autoSpaceDN/>
      <w:adjustRightInd/>
      <w:textAlignment w:val="auto"/>
    </w:pPr>
    <w:rPr>
      <w:bCs/>
      <w:i/>
      <w:szCs w:val="20"/>
      <w:lang w:bidi="fa-IR"/>
    </w:rPr>
  </w:style>
  <w:style w:type="paragraph" w:customStyle="1" w:styleId="Equation">
    <w:name w:val="Equation"/>
    <w:basedOn w:val="Normal"/>
    <w:autoRedefine/>
    <w:rsid w:val="00261AD7"/>
    <w:pPr>
      <w:widowControl w:val="0"/>
      <w:tabs>
        <w:tab w:val="right" w:pos="4309"/>
        <w:tab w:val="right" w:pos="4649"/>
      </w:tabs>
      <w:spacing w:before="60" w:after="100" w:afterAutospacing="1"/>
    </w:pPr>
    <w:rPr>
      <w:lang w:bidi="fa-IR"/>
    </w:rPr>
  </w:style>
  <w:style w:type="paragraph" w:customStyle="1" w:styleId="FigurePosition">
    <w:name w:val="Figure Position"/>
    <w:basedOn w:val="Normal"/>
    <w:autoRedefine/>
    <w:rsid w:val="00261AD7"/>
    <w:pPr>
      <w:jc w:val="center"/>
    </w:pPr>
    <w:rPr>
      <w:sz w:val="16"/>
      <w:szCs w:val="20"/>
    </w:rPr>
  </w:style>
  <w:style w:type="character" w:styleId="FollowedHyperlink">
    <w:name w:val="FollowedHyperlink"/>
    <w:semiHidden/>
    <w:rsid w:val="00261AD7"/>
    <w:rPr>
      <w:color w:val="800080"/>
      <w:u w:val="single"/>
    </w:rPr>
  </w:style>
  <w:style w:type="paragraph" w:customStyle="1" w:styleId="Index">
    <w:name w:val="Index"/>
    <w:basedOn w:val="Normal"/>
    <w:autoRedefine/>
    <w:rsid w:val="00261AD7"/>
    <w:pPr>
      <w:overflowPunct/>
      <w:autoSpaceDE/>
      <w:autoSpaceDN/>
      <w:adjustRightInd/>
      <w:spacing w:after="90"/>
      <w:jc w:val="left"/>
      <w:textAlignment w:val="auto"/>
    </w:pPr>
    <w:rPr>
      <w:sz w:val="16"/>
      <w:szCs w:val="20"/>
      <w:lang w:bidi="fa-IR"/>
    </w:rPr>
  </w:style>
  <w:style w:type="paragraph" w:customStyle="1" w:styleId="Heading">
    <w:name w:val="Heading"/>
    <w:basedOn w:val="Normal"/>
    <w:autoRedefine/>
    <w:rsid w:val="00261AD7"/>
    <w:pPr>
      <w:keepNext/>
      <w:overflowPunct/>
      <w:autoSpaceDE/>
      <w:autoSpaceDN/>
      <w:adjustRightInd/>
      <w:spacing w:before="360" w:after="120"/>
      <w:textAlignment w:val="auto"/>
    </w:pPr>
    <w:rPr>
      <w:rFonts w:ascii="Courier New" w:hAnsi="Courier New"/>
      <w:b/>
      <w:bCs/>
      <w:kern w:val="28"/>
      <w:sz w:val="24"/>
      <w:lang w:bidi="fa-IR"/>
    </w:rPr>
  </w:style>
  <w:style w:type="paragraph" w:customStyle="1" w:styleId="TableTitle">
    <w:name w:val="Table Title"/>
    <w:basedOn w:val="Normal"/>
    <w:semiHidden/>
    <w:rsid w:val="00261AD7"/>
    <w:pPr>
      <w:jc w:val="center"/>
    </w:pPr>
    <w:rPr>
      <w:smallCaps/>
      <w:sz w:val="16"/>
      <w:szCs w:val="16"/>
    </w:rPr>
  </w:style>
  <w:style w:type="paragraph" w:customStyle="1" w:styleId="Affiliations">
    <w:name w:val="Affiliations"/>
    <w:basedOn w:val="Normal"/>
    <w:autoRedefine/>
    <w:rsid w:val="00261AD7"/>
    <w:pPr>
      <w:framePr w:wrap="around" w:vAnchor="text" w:hAnchor="text" w:xAlign="center" w:y="1"/>
      <w:jc w:val="center"/>
    </w:pPr>
    <w:rPr>
      <w:sz w:val="12"/>
      <w:szCs w:val="16"/>
    </w:rPr>
  </w:style>
  <w:style w:type="numbering" w:styleId="111111">
    <w:name w:val="Outline List 2"/>
    <w:basedOn w:val="NoList"/>
    <w:semiHidden/>
    <w:rsid w:val="00261AD7"/>
    <w:pPr>
      <w:numPr>
        <w:numId w:val="18"/>
      </w:numPr>
    </w:pPr>
  </w:style>
  <w:style w:type="numbering" w:styleId="1ai">
    <w:name w:val="Outline List 1"/>
    <w:basedOn w:val="NoList"/>
    <w:semiHidden/>
    <w:rsid w:val="00261AD7"/>
    <w:pPr>
      <w:numPr>
        <w:numId w:val="19"/>
      </w:numPr>
    </w:pPr>
  </w:style>
  <w:style w:type="numbering" w:styleId="ArticleSection">
    <w:name w:val="Outline List 3"/>
    <w:basedOn w:val="NoList"/>
    <w:semiHidden/>
    <w:rsid w:val="00261AD7"/>
    <w:pPr>
      <w:numPr>
        <w:numId w:val="20"/>
      </w:numPr>
    </w:pPr>
  </w:style>
  <w:style w:type="paragraph" w:styleId="BlockText">
    <w:name w:val="Block Text"/>
    <w:basedOn w:val="Normal"/>
    <w:semiHidden/>
    <w:rsid w:val="00261AD7"/>
    <w:pPr>
      <w:spacing w:after="120"/>
      <w:ind w:left="1440" w:right="1440"/>
    </w:pPr>
  </w:style>
  <w:style w:type="paragraph" w:styleId="BodyText">
    <w:name w:val="Body Text"/>
    <w:basedOn w:val="Normal"/>
    <w:link w:val="BodyTextChar"/>
    <w:semiHidden/>
    <w:rsid w:val="00261AD7"/>
    <w:pPr>
      <w:spacing w:after="120"/>
    </w:pPr>
  </w:style>
  <w:style w:type="character" w:customStyle="1" w:styleId="BodyTextChar">
    <w:name w:val="Body Text Char"/>
    <w:basedOn w:val="DefaultParagraphFont"/>
    <w:link w:val="BodyText"/>
    <w:semiHidden/>
    <w:rsid w:val="00261AD7"/>
    <w:rPr>
      <w:rFonts w:ascii="Times New Roman" w:eastAsia="Times New Roman" w:hAnsi="Times New Roman" w:cs="B Nazanin"/>
      <w:sz w:val="20"/>
      <w:szCs w:val="24"/>
    </w:rPr>
  </w:style>
  <w:style w:type="paragraph" w:styleId="BodyText2">
    <w:name w:val="Body Text 2"/>
    <w:basedOn w:val="Normal"/>
    <w:link w:val="BodyText2Char"/>
    <w:semiHidden/>
    <w:rsid w:val="00261AD7"/>
    <w:pPr>
      <w:spacing w:after="120" w:line="480" w:lineRule="auto"/>
    </w:pPr>
  </w:style>
  <w:style w:type="character" w:customStyle="1" w:styleId="BodyText2Char">
    <w:name w:val="Body Text 2 Char"/>
    <w:basedOn w:val="DefaultParagraphFont"/>
    <w:link w:val="BodyText2"/>
    <w:semiHidden/>
    <w:rsid w:val="00261AD7"/>
    <w:rPr>
      <w:rFonts w:ascii="Times New Roman" w:eastAsia="Times New Roman" w:hAnsi="Times New Roman" w:cs="B Nazanin"/>
      <w:sz w:val="20"/>
      <w:szCs w:val="24"/>
    </w:rPr>
  </w:style>
  <w:style w:type="paragraph" w:styleId="BodyText3">
    <w:name w:val="Body Text 3"/>
    <w:basedOn w:val="Normal"/>
    <w:link w:val="BodyText3Char"/>
    <w:semiHidden/>
    <w:rsid w:val="00261AD7"/>
    <w:pPr>
      <w:spacing w:after="120"/>
    </w:pPr>
    <w:rPr>
      <w:sz w:val="16"/>
      <w:szCs w:val="16"/>
    </w:rPr>
  </w:style>
  <w:style w:type="character" w:customStyle="1" w:styleId="BodyText3Char">
    <w:name w:val="Body Text 3 Char"/>
    <w:basedOn w:val="DefaultParagraphFont"/>
    <w:link w:val="BodyText3"/>
    <w:semiHidden/>
    <w:rsid w:val="00261AD7"/>
    <w:rPr>
      <w:rFonts w:ascii="Times New Roman" w:eastAsia="Times New Roman" w:hAnsi="Times New Roman" w:cs="B Nazanin"/>
      <w:sz w:val="16"/>
      <w:szCs w:val="16"/>
    </w:rPr>
  </w:style>
  <w:style w:type="paragraph" w:styleId="BodyTextFirstIndent">
    <w:name w:val="Body Text First Indent"/>
    <w:basedOn w:val="BodyText"/>
    <w:link w:val="BodyTextFirstIndentChar"/>
    <w:semiHidden/>
    <w:rsid w:val="00261AD7"/>
    <w:pPr>
      <w:ind w:firstLine="210"/>
    </w:pPr>
  </w:style>
  <w:style w:type="character" w:customStyle="1" w:styleId="BodyTextFirstIndentChar">
    <w:name w:val="Body Text First Indent Char"/>
    <w:basedOn w:val="BodyTextChar"/>
    <w:link w:val="BodyTextFirstIndent"/>
    <w:semiHidden/>
    <w:rsid w:val="00261AD7"/>
    <w:rPr>
      <w:rFonts w:ascii="Times New Roman" w:eastAsia="Times New Roman" w:hAnsi="Times New Roman" w:cs="B Nazanin"/>
      <w:sz w:val="20"/>
      <w:szCs w:val="24"/>
    </w:rPr>
  </w:style>
  <w:style w:type="paragraph" w:styleId="BodyTextIndent">
    <w:name w:val="Body Text Indent"/>
    <w:basedOn w:val="Normal"/>
    <w:link w:val="BodyTextIndentChar"/>
    <w:semiHidden/>
    <w:rsid w:val="00261AD7"/>
    <w:pPr>
      <w:spacing w:after="120"/>
      <w:ind w:left="283"/>
    </w:pPr>
  </w:style>
  <w:style w:type="character" w:customStyle="1" w:styleId="BodyTextIndentChar">
    <w:name w:val="Body Text Indent Char"/>
    <w:basedOn w:val="DefaultParagraphFont"/>
    <w:link w:val="BodyTextIndent"/>
    <w:semiHidden/>
    <w:rsid w:val="00261AD7"/>
    <w:rPr>
      <w:rFonts w:ascii="Times New Roman" w:eastAsia="Times New Roman" w:hAnsi="Times New Roman" w:cs="B Nazanin"/>
      <w:sz w:val="20"/>
      <w:szCs w:val="24"/>
    </w:rPr>
  </w:style>
  <w:style w:type="paragraph" w:styleId="BodyTextFirstIndent2">
    <w:name w:val="Body Text First Indent 2"/>
    <w:basedOn w:val="BodyTextIndent"/>
    <w:link w:val="BodyTextFirstIndent2Char"/>
    <w:semiHidden/>
    <w:rsid w:val="00261AD7"/>
    <w:pPr>
      <w:ind w:firstLine="210"/>
    </w:pPr>
  </w:style>
  <w:style w:type="character" w:customStyle="1" w:styleId="BodyTextFirstIndent2Char">
    <w:name w:val="Body Text First Indent 2 Char"/>
    <w:basedOn w:val="BodyTextIndentChar"/>
    <w:link w:val="BodyTextFirstIndent2"/>
    <w:semiHidden/>
    <w:rsid w:val="00261AD7"/>
    <w:rPr>
      <w:rFonts w:ascii="Times New Roman" w:eastAsia="Times New Roman" w:hAnsi="Times New Roman" w:cs="B Nazanin"/>
      <w:sz w:val="20"/>
      <w:szCs w:val="24"/>
    </w:rPr>
  </w:style>
  <w:style w:type="paragraph" w:styleId="BodyTextIndent2">
    <w:name w:val="Body Text Indent 2"/>
    <w:basedOn w:val="Normal"/>
    <w:link w:val="BodyTextIndent2Char"/>
    <w:semiHidden/>
    <w:rsid w:val="00261AD7"/>
    <w:pPr>
      <w:spacing w:after="120" w:line="480" w:lineRule="auto"/>
      <w:ind w:left="283"/>
    </w:pPr>
  </w:style>
  <w:style w:type="character" w:customStyle="1" w:styleId="BodyTextIndent2Char">
    <w:name w:val="Body Text Indent 2 Char"/>
    <w:basedOn w:val="DefaultParagraphFont"/>
    <w:link w:val="BodyTextIndent2"/>
    <w:semiHidden/>
    <w:rsid w:val="00261AD7"/>
    <w:rPr>
      <w:rFonts w:ascii="Times New Roman" w:eastAsia="Times New Roman" w:hAnsi="Times New Roman" w:cs="B Nazanin"/>
      <w:sz w:val="20"/>
      <w:szCs w:val="24"/>
    </w:rPr>
  </w:style>
  <w:style w:type="paragraph" w:styleId="BodyTextIndent3">
    <w:name w:val="Body Text Indent 3"/>
    <w:basedOn w:val="Normal"/>
    <w:link w:val="BodyTextIndent3Char"/>
    <w:semiHidden/>
    <w:rsid w:val="00261AD7"/>
    <w:pPr>
      <w:spacing w:after="120"/>
      <w:ind w:left="283"/>
    </w:pPr>
    <w:rPr>
      <w:sz w:val="16"/>
      <w:szCs w:val="16"/>
    </w:rPr>
  </w:style>
  <w:style w:type="character" w:customStyle="1" w:styleId="BodyTextIndent3Char">
    <w:name w:val="Body Text Indent 3 Char"/>
    <w:basedOn w:val="DefaultParagraphFont"/>
    <w:link w:val="BodyTextIndent3"/>
    <w:semiHidden/>
    <w:rsid w:val="00261AD7"/>
    <w:rPr>
      <w:rFonts w:ascii="Times New Roman" w:eastAsia="Times New Roman" w:hAnsi="Times New Roman" w:cs="B Nazanin"/>
      <w:sz w:val="16"/>
      <w:szCs w:val="16"/>
    </w:rPr>
  </w:style>
  <w:style w:type="paragraph" w:styleId="Caption">
    <w:name w:val="caption"/>
    <w:next w:val="FigurePosition"/>
    <w:autoRedefine/>
    <w:qFormat/>
    <w:rsid w:val="00261AD7"/>
    <w:pPr>
      <w:bidi/>
      <w:spacing w:after="240" w:line="240" w:lineRule="auto"/>
      <w:jc w:val="both"/>
    </w:pPr>
    <w:rPr>
      <w:rFonts w:ascii="Times New Roman" w:eastAsia="Times New Roman" w:hAnsi="Times New Roman" w:cs="B Nazanin"/>
      <w:sz w:val="16"/>
      <w:szCs w:val="20"/>
    </w:rPr>
  </w:style>
  <w:style w:type="paragraph" w:styleId="Closing">
    <w:name w:val="Closing"/>
    <w:basedOn w:val="Normal"/>
    <w:link w:val="ClosingChar"/>
    <w:semiHidden/>
    <w:rsid w:val="00261AD7"/>
    <w:pPr>
      <w:ind w:left="4252"/>
    </w:pPr>
  </w:style>
  <w:style w:type="character" w:customStyle="1" w:styleId="ClosingChar">
    <w:name w:val="Closing Char"/>
    <w:basedOn w:val="DefaultParagraphFont"/>
    <w:link w:val="Closing"/>
    <w:semiHidden/>
    <w:rsid w:val="00261AD7"/>
    <w:rPr>
      <w:rFonts w:ascii="Times New Roman" w:eastAsia="Times New Roman" w:hAnsi="Times New Roman" w:cs="B Nazanin"/>
      <w:sz w:val="20"/>
      <w:szCs w:val="24"/>
    </w:rPr>
  </w:style>
  <w:style w:type="paragraph" w:styleId="Date">
    <w:name w:val="Date"/>
    <w:basedOn w:val="Normal"/>
    <w:next w:val="Normal"/>
    <w:link w:val="DateChar"/>
    <w:semiHidden/>
    <w:rsid w:val="00261AD7"/>
  </w:style>
  <w:style w:type="character" w:customStyle="1" w:styleId="DateChar">
    <w:name w:val="Date Char"/>
    <w:basedOn w:val="DefaultParagraphFont"/>
    <w:link w:val="Date"/>
    <w:semiHidden/>
    <w:rsid w:val="00261AD7"/>
    <w:rPr>
      <w:rFonts w:ascii="Times New Roman" w:eastAsia="Times New Roman" w:hAnsi="Times New Roman" w:cs="B Nazanin"/>
      <w:sz w:val="20"/>
      <w:szCs w:val="24"/>
    </w:rPr>
  </w:style>
  <w:style w:type="character" w:styleId="Emphasis">
    <w:name w:val="Emphasis"/>
    <w:qFormat/>
    <w:rsid w:val="00261AD7"/>
    <w:rPr>
      <w:i/>
      <w:iCs/>
    </w:rPr>
  </w:style>
  <w:style w:type="character" w:styleId="EndnoteReference">
    <w:name w:val="endnote reference"/>
    <w:rsid w:val="00261AD7"/>
    <w:rPr>
      <w:vertAlign w:val="superscript"/>
    </w:rPr>
  </w:style>
  <w:style w:type="paragraph" w:styleId="EndnoteText">
    <w:name w:val="endnote text"/>
    <w:basedOn w:val="Normal"/>
    <w:link w:val="EndnoteTextChar"/>
    <w:rsid w:val="00261AD7"/>
    <w:rPr>
      <w:szCs w:val="20"/>
    </w:rPr>
  </w:style>
  <w:style w:type="character" w:customStyle="1" w:styleId="EndnoteTextChar">
    <w:name w:val="Endnote Text Char"/>
    <w:basedOn w:val="DefaultParagraphFont"/>
    <w:link w:val="EndnoteText"/>
    <w:rsid w:val="00261AD7"/>
    <w:rPr>
      <w:rFonts w:ascii="Times New Roman" w:eastAsia="Times New Roman" w:hAnsi="Times New Roman" w:cs="B Nazanin"/>
      <w:sz w:val="20"/>
      <w:szCs w:val="20"/>
    </w:rPr>
  </w:style>
  <w:style w:type="paragraph" w:styleId="EnvelopeAddress">
    <w:name w:val="envelope address"/>
    <w:basedOn w:val="Normal"/>
    <w:semiHidden/>
    <w:rsid w:val="00261AD7"/>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semiHidden/>
    <w:rsid w:val="00261AD7"/>
    <w:rPr>
      <w:rFonts w:ascii="Arial" w:hAnsi="Arial" w:cs="Arial"/>
      <w:szCs w:val="20"/>
    </w:rPr>
  </w:style>
  <w:style w:type="character" w:styleId="HTMLAcronym">
    <w:name w:val="HTML Acronym"/>
    <w:basedOn w:val="DefaultParagraphFont"/>
    <w:semiHidden/>
    <w:rsid w:val="00261AD7"/>
  </w:style>
  <w:style w:type="paragraph" w:styleId="HTMLAddress">
    <w:name w:val="HTML Address"/>
    <w:basedOn w:val="Normal"/>
    <w:link w:val="HTMLAddressChar"/>
    <w:semiHidden/>
    <w:rsid w:val="00261AD7"/>
    <w:rPr>
      <w:i/>
      <w:iCs/>
    </w:rPr>
  </w:style>
  <w:style w:type="character" w:customStyle="1" w:styleId="HTMLAddressChar">
    <w:name w:val="HTML Address Char"/>
    <w:basedOn w:val="DefaultParagraphFont"/>
    <w:link w:val="HTMLAddress"/>
    <w:semiHidden/>
    <w:rsid w:val="00261AD7"/>
    <w:rPr>
      <w:rFonts w:ascii="Times New Roman" w:eastAsia="Times New Roman" w:hAnsi="Times New Roman" w:cs="B Nazanin"/>
      <w:i/>
      <w:iCs/>
      <w:sz w:val="20"/>
      <w:szCs w:val="24"/>
    </w:rPr>
  </w:style>
  <w:style w:type="character" w:styleId="HTMLCite">
    <w:name w:val="HTML Cite"/>
    <w:semiHidden/>
    <w:rsid w:val="00261AD7"/>
    <w:rPr>
      <w:i/>
      <w:iCs/>
    </w:rPr>
  </w:style>
  <w:style w:type="character" w:styleId="HTMLCode">
    <w:name w:val="HTML Code"/>
    <w:semiHidden/>
    <w:rsid w:val="00261AD7"/>
    <w:rPr>
      <w:rFonts w:ascii="Courier New" w:hAnsi="Courier New" w:cs="Courier New"/>
      <w:sz w:val="20"/>
      <w:szCs w:val="20"/>
    </w:rPr>
  </w:style>
  <w:style w:type="character" w:styleId="HTMLDefinition">
    <w:name w:val="HTML Definition"/>
    <w:semiHidden/>
    <w:rsid w:val="00261AD7"/>
    <w:rPr>
      <w:i/>
      <w:iCs/>
    </w:rPr>
  </w:style>
  <w:style w:type="character" w:styleId="HTMLKeyboard">
    <w:name w:val="HTML Keyboard"/>
    <w:semiHidden/>
    <w:rsid w:val="00261AD7"/>
    <w:rPr>
      <w:rFonts w:ascii="Courier New" w:hAnsi="Courier New" w:cs="Courier New"/>
      <w:sz w:val="20"/>
      <w:szCs w:val="20"/>
    </w:rPr>
  </w:style>
  <w:style w:type="paragraph" w:styleId="HTMLPreformatted">
    <w:name w:val="HTML Preformatted"/>
    <w:basedOn w:val="Normal"/>
    <w:link w:val="HTMLPreformattedChar"/>
    <w:semiHidden/>
    <w:rsid w:val="00261AD7"/>
    <w:rPr>
      <w:rFonts w:ascii="Courier New" w:hAnsi="Courier New" w:cs="Courier New"/>
      <w:szCs w:val="20"/>
    </w:rPr>
  </w:style>
  <w:style w:type="character" w:customStyle="1" w:styleId="HTMLPreformattedChar">
    <w:name w:val="HTML Preformatted Char"/>
    <w:basedOn w:val="DefaultParagraphFont"/>
    <w:link w:val="HTMLPreformatted"/>
    <w:semiHidden/>
    <w:rsid w:val="00261AD7"/>
    <w:rPr>
      <w:rFonts w:ascii="Courier New" w:eastAsia="Times New Roman" w:hAnsi="Courier New" w:cs="Courier New"/>
      <w:sz w:val="20"/>
      <w:szCs w:val="20"/>
    </w:rPr>
  </w:style>
  <w:style w:type="character" w:styleId="HTMLSample">
    <w:name w:val="HTML Sample"/>
    <w:semiHidden/>
    <w:rsid w:val="00261AD7"/>
    <w:rPr>
      <w:rFonts w:ascii="Courier New" w:hAnsi="Courier New" w:cs="Courier New"/>
    </w:rPr>
  </w:style>
  <w:style w:type="character" w:styleId="HTMLTypewriter">
    <w:name w:val="HTML Typewriter"/>
    <w:semiHidden/>
    <w:rsid w:val="00261AD7"/>
    <w:rPr>
      <w:rFonts w:ascii="Courier New" w:hAnsi="Courier New" w:cs="Courier New"/>
      <w:sz w:val="20"/>
      <w:szCs w:val="20"/>
    </w:rPr>
  </w:style>
  <w:style w:type="character" w:styleId="HTMLVariable">
    <w:name w:val="HTML Variable"/>
    <w:semiHidden/>
    <w:rsid w:val="00261AD7"/>
    <w:rPr>
      <w:i/>
      <w:iCs/>
    </w:rPr>
  </w:style>
  <w:style w:type="character" w:styleId="LineNumber">
    <w:name w:val="line number"/>
    <w:basedOn w:val="DefaultParagraphFont"/>
    <w:semiHidden/>
    <w:rsid w:val="00261AD7"/>
  </w:style>
  <w:style w:type="paragraph" w:styleId="List">
    <w:name w:val="List"/>
    <w:basedOn w:val="Normal"/>
    <w:semiHidden/>
    <w:rsid w:val="00261AD7"/>
    <w:pPr>
      <w:ind w:left="283" w:hanging="283"/>
    </w:pPr>
  </w:style>
  <w:style w:type="paragraph" w:styleId="List2">
    <w:name w:val="List 2"/>
    <w:basedOn w:val="Normal"/>
    <w:semiHidden/>
    <w:rsid w:val="00261AD7"/>
    <w:pPr>
      <w:ind w:left="566" w:hanging="283"/>
    </w:pPr>
  </w:style>
  <w:style w:type="paragraph" w:styleId="List3">
    <w:name w:val="List 3"/>
    <w:basedOn w:val="Normal"/>
    <w:semiHidden/>
    <w:rsid w:val="00261AD7"/>
    <w:pPr>
      <w:ind w:left="849" w:hanging="283"/>
    </w:pPr>
  </w:style>
  <w:style w:type="paragraph" w:styleId="List4">
    <w:name w:val="List 4"/>
    <w:basedOn w:val="Normal"/>
    <w:semiHidden/>
    <w:rsid w:val="00261AD7"/>
    <w:pPr>
      <w:ind w:left="1132" w:hanging="283"/>
    </w:pPr>
  </w:style>
  <w:style w:type="paragraph" w:styleId="List5">
    <w:name w:val="List 5"/>
    <w:basedOn w:val="Normal"/>
    <w:semiHidden/>
    <w:rsid w:val="00261AD7"/>
    <w:pPr>
      <w:ind w:left="1415" w:hanging="283"/>
    </w:pPr>
  </w:style>
  <w:style w:type="paragraph" w:styleId="ListBullet">
    <w:name w:val="List Bullet"/>
    <w:basedOn w:val="Normal"/>
    <w:semiHidden/>
    <w:rsid w:val="00261AD7"/>
    <w:pPr>
      <w:numPr>
        <w:numId w:val="21"/>
      </w:numPr>
    </w:pPr>
  </w:style>
  <w:style w:type="paragraph" w:styleId="ListBullet2">
    <w:name w:val="List Bullet 2"/>
    <w:basedOn w:val="Normal"/>
    <w:semiHidden/>
    <w:rsid w:val="00261AD7"/>
    <w:pPr>
      <w:numPr>
        <w:numId w:val="22"/>
      </w:numPr>
    </w:pPr>
  </w:style>
  <w:style w:type="paragraph" w:styleId="ListBullet3">
    <w:name w:val="List Bullet 3"/>
    <w:basedOn w:val="Normal"/>
    <w:semiHidden/>
    <w:rsid w:val="00261AD7"/>
    <w:pPr>
      <w:numPr>
        <w:numId w:val="23"/>
      </w:numPr>
    </w:pPr>
  </w:style>
  <w:style w:type="paragraph" w:styleId="ListBullet4">
    <w:name w:val="List Bullet 4"/>
    <w:basedOn w:val="Normal"/>
    <w:semiHidden/>
    <w:rsid w:val="00261AD7"/>
    <w:pPr>
      <w:numPr>
        <w:numId w:val="24"/>
      </w:numPr>
    </w:pPr>
  </w:style>
  <w:style w:type="paragraph" w:styleId="ListBullet5">
    <w:name w:val="List Bullet 5"/>
    <w:basedOn w:val="Normal"/>
    <w:semiHidden/>
    <w:rsid w:val="00261AD7"/>
    <w:pPr>
      <w:numPr>
        <w:numId w:val="25"/>
      </w:numPr>
    </w:pPr>
  </w:style>
  <w:style w:type="paragraph" w:styleId="ListContinue">
    <w:name w:val="List Continue"/>
    <w:basedOn w:val="Normal"/>
    <w:semiHidden/>
    <w:rsid w:val="00261AD7"/>
    <w:pPr>
      <w:spacing w:after="120"/>
      <w:ind w:left="283"/>
    </w:pPr>
  </w:style>
  <w:style w:type="paragraph" w:styleId="ListContinue2">
    <w:name w:val="List Continue 2"/>
    <w:basedOn w:val="Normal"/>
    <w:semiHidden/>
    <w:rsid w:val="00261AD7"/>
    <w:pPr>
      <w:spacing w:after="120"/>
      <w:ind w:left="566"/>
    </w:pPr>
  </w:style>
  <w:style w:type="paragraph" w:styleId="ListContinue3">
    <w:name w:val="List Continue 3"/>
    <w:basedOn w:val="Normal"/>
    <w:semiHidden/>
    <w:rsid w:val="00261AD7"/>
    <w:pPr>
      <w:spacing w:after="120"/>
      <w:ind w:left="849"/>
    </w:pPr>
  </w:style>
  <w:style w:type="paragraph" w:styleId="ListContinue4">
    <w:name w:val="List Continue 4"/>
    <w:basedOn w:val="Normal"/>
    <w:semiHidden/>
    <w:rsid w:val="00261AD7"/>
    <w:pPr>
      <w:spacing w:after="120"/>
      <w:ind w:left="1132"/>
    </w:pPr>
  </w:style>
  <w:style w:type="paragraph" w:styleId="ListContinue5">
    <w:name w:val="List Continue 5"/>
    <w:basedOn w:val="Normal"/>
    <w:semiHidden/>
    <w:rsid w:val="00261AD7"/>
    <w:pPr>
      <w:spacing w:after="120"/>
      <w:ind w:left="1415"/>
    </w:pPr>
  </w:style>
  <w:style w:type="paragraph" w:styleId="ListNumber">
    <w:name w:val="List Number"/>
    <w:basedOn w:val="Normal"/>
    <w:semiHidden/>
    <w:rsid w:val="00261AD7"/>
    <w:pPr>
      <w:numPr>
        <w:numId w:val="26"/>
      </w:numPr>
    </w:pPr>
  </w:style>
  <w:style w:type="paragraph" w:styleId="ListNumber2">
    <w:name w:val="List Number 2"/>
    <w:basedOn w:val="Normal"/>
    <w:semiHidden/>
    <w:rsid w:val="00261AD7"/>
    <w:pPr>
      <w:numPr>
        <w:numId w:val="27"/>
      </w:numPr>
    </w:pPr>
  </w:style>
  <w:style w:type="paragraph" w:styleId="ListNumber3">
    <w:name w:val="List Number 3"/>
    <w:basedOn w:val="Normal"/>
    <w:semiHidden/>
    <w:rsid w:val="00261AD7"/>
    <w:pPr>
      <w:numPr>
        <w:numId w:val="28"/>
      </w:numPr>
    </w:pPr>
  </w:style>
  <w:style w:type="paragraph" w:styleId="ListNumber4">
    <w:name w:val="List Number 4"/>
    <w:basedOn w:val="Normal"/>
    <w:semiHidden/>
    <w:rsid w:val="00261AD7"/>
    <w:pPr>
      <w:numPr>
        <w:numId w:val="29"/>
      </w:numPr>
    </w:pPr>
  </w:style>
  <w:style w:type="paragraph" w:styleId="ListNumber5">
    <w:name w:val="List Number 5"/>
    <w:basedOn w:val="Normal"/>
    <w:semiHidden/>
    <w:rsid w:val="00261AD7"/>
    <w:pPr>
      <w:numPr>
        <w:numId w:val="30"/>
      </w:numPr>
    </w:pPr>
  </w:style>
  <w:style w:type="paragraph" w:styleId="MessageHeader">
    <w:name w:val="Message Header"/>
    <w:basedOn w:val="Normal"/>
    <w:link w:val="MessageHeaderChar"/>
    <w:semiHidden/>
    <w:rsid w:val="00261AD7"/>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character" w:customStyle="1" w:styleId="MessageHeaderChar">
    <w:name w:val="Message Header Char"/>
    <w:basedOn w:val="DefaultParagraphFont"/>
    <w:link w:val="MessageHeader"/>
    <w:semiHidden/>
    <w:rsid w:val="00261AD7"/>
    <w:rPr>
      <w:rFonts w:ascii="Arial" w:eastAsia="Times New Roman" w:hAnsi="Arial" w:cs="Arial"/>
      <w:sz w:val="24"/>
      <w:szCs w:val="24"/>
      <w:shd w:val="pct20" w:color="auto" w:fill="auto"/>
    </w:rPr>
  </w:style>
  <w:style w:type="paragraph" w:styleId="NormalWeb">
    <w:name w:val="Normal (Web)"/>
    <w:basedOn w:val="Normal"/>
    <w:semiHidden/>
    <w:rsid w:val="00261AD7"/>
    <w:rPr>
      <w:rFonts w:cs="Times New Roman"/>
      <w:sz w:val="24"/>
    </w:rPr>
  </w:style>
  <w:style w:type="paragraph" w:styleId="NormalIndent">
    <w:name w:val="Normal Indent"/>
    <w:basedOn w:val="Normal"/>
    <w:semiHidden/>
    <w:rsid w:val="00261AD7"/>
    <w:pPr>
      <w:ind w:left="720"/>
    </w:pPr>
  </w:style>
  <w:style w:type="paragraph" w:styleId="NoteHeading">
    <w:name w:val="Note Heading"/>
    <w:basedOn w:val="Normal"/>
    <w:next w:val="Normal"/>
    <w:link w:val="NoteHeadingChar"/>
    <w:semiHidden/>
    <w:rsid w:val="00261AD7"/>
  </w:style>
  <w:style w:type="character" w:customStyle="1" w:styleId="NoteHeadingChar">
    <w:name w:val="Note Heading Char"/>
    <w:basedOn w:val="DefaultParagraphFont"/>
    <w:link w:val="NoteHeading"/>
    <w:semiHidden/>
    <w:rsid w:val="00261AD7"/>
    <w:rPr>
      <w:rFonts w:ascii="Times New Roman" w:eastAsia="Times New Roman" w:hAnsi="Times New Roman" w:cs="B Nazanin"/>
      <w:sz w:val="20"/>
      <w:szCs w:val="24"/>
    </w:rPr>
  </w:style>
  <w:style w:type="paragraph" w:styleId="Salutation">
    <w:name w:val="Salutation"/>
    <w:basedOn w:val="Normal"/>
    <w:next w:val="Normal"/>
    <w:link w:val="SalutationChar"/>
    <w:semiHidden/>
    <w:rsid w:val="00261AD7"/>
  </w:style>
  <w:style w:type="character" w:customStyle="1" w:styleId="SalutationChar">
    <w:name w:val="Salutation Char"/>
    <w:basedOn w:val="DefaultParagraphFont"/>
    <w:link w:val="Salutation"/>
    <w:semiHidden/>
    <w:rsid w:val="00261AD7"/>
    <w:rPr>
      <w:rFonts w:ascii="Times New Roman" w:eastAsia="Times New Roman" w:hAnsi="Times New Roman" w:cs="B Nazanin"/>
      <w:sz w:val="20"/>
      <w:szCs w:val="24"/>
    </w:rPr>
  </w:style>
  <w:style w:type="paragraph" w:styleId="Signature">
    <w:name w:val="Signature"/>
    <w:basedOn w:val="Normal"/>
    <w:link w:val="SignatureChar"/>
    <w:semiHidden/>
    <w:rsid w:val="00261AD7"/>
    <w:pPr>
      <w:ind w:left="4252"/>
    </w:pPr>
  </w:style>
  <w:style w:type="character" w:customStyle="1" w:styleId="SignatureChar">
    <w:name w:val="Signature Char"/>
    <w:basedOn w:val="DefaultParagraphFont"/>
    <w:link w:val="Signature"/>
    <w:semiHidden/>
    <w:rsid w:val="00261AD7"/>
    <w:rPr>
      <w:rFonts w:ascii="Times New Roman" w:eastAsia="Times New Roman" w:hAnsi="Times New Roman" w:cs="B Nazanin"/>
      <w:sz w:val="20"/>
      <w:szCs w:val="24"/>
    </w:rPr>
  </w:style>
  <w:style w:type="character" w:styleId="Strong">
    <w:name w:val="Strong"/>
    <w:qFormat/>
    <w:rsid w:val="00261AD7"/>
    <w:rPr>
      <w:b/>
      <w:bCs/>
    </w:rPr>
  </w:style>
  <w:style w:type="table" w:styleId="Table3Deffects1">
    <w:name w:val="Table 3D effect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link w:val="SubtitleChar"/>
    <w:qFormat/>
    <w:rsid w:val="00261AD7"/>
    <w:pPr>
      <w:spacing w:after="60"/>
      <w:jc w:val="center"/>
      <w:outlineLvl w:val="1"/>
    </w:pPr>
    <w:rPr>
      <w:rFonts w:ascii="Arial" w:hAnsi="Arial" w:cs="Arial"/>
      <w:sz w:val="24"/>
    </w:rPr>
  </w:style>
  <w:style w:type="character" w:customStyle="1" w:styleId="SubtitleChar">
    <w:name w:val="Subtitle Char"/>
    <w:basedOn w:val="DefaultParagraphFont"/>
    <w:link w:val="Subtitle"/>
    <w:rsid w:val="00261AD7"/>
    <w:rPr>
      <w:rFonts w:ascii="Arial" w:eastAsia="Times New Roman" w:hAnsi="Arial" w:cs="Arial"/>
      <w:sz w:val="24"/>
      <w:szCs w:val="24"/>
    </w:rPr>
  </w:style>
  <w:style w:type="paragraph" w:customStyle="1" w:styleId="CaptionC">
    <w:name w:val="Caption(C)"/>
    <w:basedOn w:val="Caption"/>
    <w:autoRedefine/>
    <w:rsid w:val="00261AD7"/>
    <w:pPr>
      <w:jc w:val="center"/>
    </w:pPr>
  </w:style>
  <w:style w:type="paragraph" w:customStyle="1" w:styleId="CaptionFramed">
    <w:name w:val="Caption(Framed)"/>
    <w:basedOn w:val="CaptionC"/>
    <w:autoRedefine/>
    <w:rsid w:val="00261AD7"/>
    <w:pPr>
      <w:framePr w:wrap="around" w:vAnchor="text" w:hAnchor="margin" w:xAlign="center" w:y="1"/>
    </w:pPr>
    <w:rPr>
      <w:lang w:bidi="fa-IR"/>
    </w:rPr>
  </w:style>
  <w:style w:type="paragraph" w:customStyle="1" w:styleId="ReferencesFarsi">
    <w:name w:val="ReferencesFarsi"/>
    <w:basedOn w:val="References"/>
    <w:rsid w:val="00261AD7"/>
  </w:style>
  <w:style w:type="paragraph" w:customStyle="1" w:styleId="FramedFigure">
    <w:name w:val="Framed Figure"/>
    <w:basedOn w:val="FigurePosition"/>
    <w:autoRedefine/>
    <w:rsid w:val="00261AD7"/>
    <w:pPr>
      <w:framePr w:w="7052" w:wrap="around" w:hAnchor="page" w:x="2422" w:yAlign="top"/>
    </w:pPr>
    <w:rPr>
      <w:lang w:bidi="fa-IR"/>
    </w:rPr>
  </w:style>
  <w:style w:type="paragraph" w:customStyle="1" w:styleId="ReferencesFarsi0">
    <w:name w:val="References(Farsi)"/>
    <w:basedOn w:val="ReferencesFarsi"/>
    <w:rsid w:val="00261AD7"/>
    <w:pPr>
      <w:bidi/>
    </w:pPr>
  </w:style>
  <w:style w:type="paragraph" w:customStyle="1" w:styleId="AbstractEnglish">
    <w:name w:val="Abstract(English)"/>
    <w:basedOn w:val="Abstract"/>
    <w:autoRedefine/>
    <w:rsid w:val="00261AD7"/>
  </w:style>
  <w:style w:type="paragraph" w:customStyle="1" w:styleId="TitleEnglish">
    <w:name w:val="Title(English)"/>
    <w:basedOn w:val="Title"/>
    <w:autoRedefine/>
    <w:rsid w:val="00261AD7"/>
    <w:pPr>
      <w:bidi w:val="0"/>
    </w:pPr>
  </w:style>
  <w:style w:type="paragraph" w:customStyle="1" w:styleId="AuthorsEnglish">
    <w:name w:val="Authors( English)"/>
    <w:basedOn w:val="Authors"/>
    <w:next w:val="AbstractEnglish"/>
    <w:autoRedefine/>
    <w:rsid w:val="00261AD7"/>
    <w:pPr>
      <w:framePr w:wrap="auto" w:vAnchor="margin" w:xAlign="left" w:yAlign="inline"/>
      <w:bidi w:val="0"/>
    </w:pPr>
  </w:style>
  <w:style w:type="paragraph" w:customStyle="1" w:styleId="AffiliationsEnglish">
    <w:name w:val="Affiliations(English)"/>
    <w:basedOn w:val="Affiliations"/>
    <w:autoRedefine/>
    <w:rsid w:val="00261AD7"/>
    <w:pPr>
      <w:framePr w:wrap="auto" w:vAnchor="margin" w:xAlign="left" w:yAlign="inline"/>
      <w:bidi w:val="0"/>
    </w:pPr>
    <w:rPr>
      <w:lang w:bidi="fa-IR"/>
    </w:rPr>
  </w:style>
  <w:style w:type="paragraph" w:customStyle="1" w:styleId="AuthorsEnglisht">
    <w:name w:val="Authors( English)t"/>
    <w:basedOn w:val="AuthorsEnglish"/>
    <w:rsid w:val="00261AD7"/>
    <w:rPr>
      <w:szCs w:val="20"/>
    </w:rPr>
  </w:style>
  <w:style w:type="character" w:customStyle="1" w:styleId="ParagraphChar">
    <w:name w:val="Paragraph Char"/>
    <w:link w:val="Paragraph"/>
    <w:rsid w:val="00261AD7"/>
    <w:rPr>
      <w:rFonts w:ascii="Times New Roman" w:eastAsia="Times New Roman" w:hAnsi="Times New Roman" w:cs="B Nazanin"/>
      <w:sz w:val="20"/>
      <w:szCs w:val="24"/>
      <w:lang w:bidi="fa-IR"/>
    </w:rPr>
  </w:style>
  <w:style w:type="paragraph" w:styleId="BalloonText">
    <w:name w:val="Balloon Text"/>
    <w:basedOn w:val="Normal"/>
    <w:link w:val="BalloonTextChar"/>
    <w:rsid w:val="00261AD7"/>
    <w:rPr>
      <w:rFonts w:ascii="Tahoma" w:hAnsi="Tahoma" w:cs="Tahoma"/>
      <w:sz w:val="16"/>
      <w:szCs w:val="16"/>
    </w:rPr>
  </w:style>
  <w:style w:type="character" w:customStyle="1" w:styleId="BalloonTextChar">
    <w:name w:val="Balloon Text Char"/>
    <w:basedOn w:val="DefaultParagraphFont"/>
    <w:link w:val="BalloonText"/>
    <w:rsid w:val="00261AD7"/>
    <w:rPr>
      <w:rFonts w:ascii="Tahoma" w:eastAsia="Times New Roman" w:hAnsi="Tahoma" w:cs="Tahoma"/>
      <w:sz w:val="16"/>
      <w:szCs w:val="16"/>
    </w:rPr>
  </w:style>
  <w:style w:type="paragraph" w:styleId="ListParagraph">
    <w:name w:val="List Paragraph"/>
    <w:basedOn w:val="Normal"/>
    <w:uiPriority w:val="34"/>
    <w:qFormat/>
    <w:rsid w:val="00261A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oleObject" Target="embeddings/oleObject2.bin"/><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www.icbme.i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wmf"/><Relationship Id="rId5" Type="http://schemas.openxmlformats.org/officeDocument/2006/relationships/footnotes" Target="footnotes.xml"/><Relationship Id="rId15" Type="http://schemas.openxmlformats.org/officeDocument/2006/relationships/hyperlink" Target="http://icbme.org/fa/catalog/page.asp?id=163" TargetMode="External"/><Relationship Id="rId10" Type="http://schemas.openxmlformats.org/officeDocument/2006/relationships/oleObject" Target="embeddings/oleObject1.bin"/><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wmf"/><Relationship Id="rId14"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jpg"/><Relationship Id="rId22" Type="http://schemas.openxmlformats.org/officeDocument/2006/relationships/image" Target="media/image7.jpg"/><Relationship Id="rId23" Type="http://schemas.openxmlformats.org/officeDocument/2006/relationships/image" Target="media/image8.jpg"/><Relationship Id="rId24" Type="http://schemas.openxmlformats.org/officeDocument/2006/relationships/image" Target="media/image9.jpg"/><Relationship Id="rId25" Type="http://schemas.openxmlformats.org/officeDocument/2006/relationships/image" Target="media/image10.jpg"/><Relationship Id="rId26" Type="http://schemas.openxmlformats.org/officeDocument/2006/relationships/image" Target="media/image11.jpg"/><Relationship Id="rId27" Type="http://schemas.openxmlformats.org/officeDocument/2006/relationships/image" Target="media/image12.jpg"/><Relationship Id="rId28"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1948</Words>
  <Characters>8557</Characters>
  <Application>Microsoft Office Word</Application>
  <DocSecurity>0</DocSecurity>
  <Lines>219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Antibiogram Classical CV Paper</dc:title>
  <dc:subject/>
  <dc:creator/>
  <cp:keywords/>
  <dc:description/>
  <cp:lastModifiedBy/>
  <cp:revision>1</cp:revision>
  <dcterms:created xsi:type="dcterms:W3CDTF">2024-07-17T18:39:00Z</dcterms:created>
  <dcterms:modified xsi:type="dcterms:W3CDTF">2024-07-17T18:54:00Z</dcterms:modified>
</cp:coreProperties>
</file>