
<file path=[Content_Types].xml><?xml version="1.0" encoding="utf-8"?>
<Types xmlns="http://schemas.openxmlformats.org/package/2006/content-types">
  <Default Extension="jpg" ContentType="application/octet-stream"/>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D6976" w14:textId="77777777" w:rsidR="00BC3615" w:rsidRDefault="00000000">
      <w:pPr>
        <w:pStyle w:val="Title"/>
      </w:pPr>
      <w:r>
        <w:rPr>
          <w:rFonts w:hint="cs"/>
          <w:rtl/>
        </w:rPr>
        <w:t>اندازه‌گیری تفسیرپذیر و خودکار آنتی‌بایوگرام دیسک-دیفیوژن از تصاویر تلفن همراه با بینایی ماشین کلاسیک</w:t>
      </w:r>
    </w:p>
    <w:p w14:paraId="18E398CE" w14:textId="3EB90263" w:rsidR="00BC3615" w:rsidRPr="00DC354D" w:rsidRDefault="00000000" w:rsidP="00DC354D">
      <w:pPr>
        <w:pStyle w:val="Authors"/>
        <w:framePr w:wrap="around"/>
      </w:pPr>
      <w:r>
        <w:rPr>
          <w:rFonts w:hint="cs"/>
          <w:rtl/>
        </w:rPr>
        <w:t>مهیار حدادها</w:t>
      </w:r>
      <w:r>
        <w:rPr>
          <w:vertAlign w:val="superscript"/>
        </w:rPr>
        <w:t>۱</w:t>
      </w:r>
      <w:r>
        <w:rPr>
          <w:rFonts w:hint="cs"/>
          <w:rtl/>
        </w:rPr>
        <w:t>، غزل مقاره‌زاده اصفهانی</w:t>
      </w:r>
      <w:r>
        <w:rPr>
          <w:vertAlign w:val="superscript"/>
        </w:rPr>
        <w:t>۲</w:t>
      </w:r>
      <w:r>
        <w:rPr>
          <w:rFonts w:hint="cs"/>
          <w:rtl/>
        </w:rPr>
        <w:t>، محمدرضا یزدچی</w:t>
      </w:r>
      <w:r>
        <w:rPr>
          <w:rFonts w:hint="cs"/>
          <w:vertAlign w:val="superscript"/>
          <w:rtl/>
        </w:rPr>
        <w:t>*۳</w:t>
      </w:r>
      <w:r>
        <w:rPr>
          <w:rFonts w:hint="cs"/>
          <w:rtl/>
        </w:rPr>
        <w:t>، داریوش شکری</w:t>
      </w:r>
      <w:r>
        <w:rPr>
          <w:vertAlign w:val="superscript"/>
        </w:rPr>
        <w:t>۴</w:t>
      </w:r>
      <w:r>
        <w:rPr>
          <w:rFonts w:hint="cs"/>
          <w:rtl/>
        </w:rPr>
        <w:t>، سید محمدعلی هاشمی‌پور</w:t>
      </w:r>
      <w:r>
        <w:rPr>
          <w:vertAlign w:val="superscript"/>
        </w:rPr>
        <w:t>۵</w:t>
      </w:r>
    </w:p>
    <w:p w14:paraId="6E69CE81" w14:textId="77777777" w:rsidR="00BC3615" w:rsidRPr="00DC354D" w:rsidRDefault="00000000">
      <w:pPr>
        <w:pStyle w:val="Affiliations"/>
        <w:framePr w:wrap="around"/>
        <w:rPr>
          <w:sz w:val="20"/>
          <w:szCs w:val="20"/>
        </w:rPr>
      </w:pPr>
      <w:r>
        <w:rPr>
          <w:rFonts w:hint="cs"/>
          <w:sz w:val="20"/>
          <w:szCs w:val="20"/>
          <w:rtl/>
        </w:rPr>
        <w:t>۱ گروه مهندسی پزشکی، دانشکده‌ی مهندسی، دانشگاه اصفهان، اصفهان، ایران</w:t>
      </w:r>
    </w:p>
    <w:p w14:paraId="6C24297D" w14:textId="77777777" w:rsidR="00BC3615" w:rsidRPr="00DC354D" w:rsidRDefault="00000000">
      <w:pPr>
        <w:pStyle w:val="Affiliations"/>
        <w:framePr w:wrap="around"/>
        <w:rPr>
          <w:sz w:val="20"/>
          <w:szCs w:val="20"/>
        </w:rPr>
      </w:pPr>
      <w:r>
        <w:rPr>
          <w:rFonts w:hint="cs"/>
          <w:sz w:val="20"/>
          <w:szCs w:val="20"/>
          <w:rtl/>
        </w:rPr>
        <w:t>۲ گروه مهندسی پزشکی، دانشکده‌ی مهندسی، دانشگاه اصفهان، اصفهان، ایران</w:t>
      </w:r>
    </w:p>
    <w:p w14:paraId="42589FB7" w14:textId="77777777" w:rsidR="00BC3615" w:rsidRPr="00DC354D" w:rsidRDefault="00000000">
      <w:pPr>
        <w:pStyle w:val="Affiliations"/>
        <w:framePr w:wrap="around"/>
        <w:rPr>
          <w:sz w:val="20"/>
          <w:szCs w:val="20"/>
        </w:rPr>
      </w:pPr>
      <w:r>
        <w:rPr>
          <w:rFonts w:hint="cs"/>
          <w:sz w:val="20"/>
          <w:szCs w:val="20"/>
          <w:rtl/>
        </w:rPr>
        <w:t>۳ گروه مهندسی پزشکی، دانشکده‌ی مهندسی، دانشگاه اصفهان، اصفهان، ایران</w:t>
      </w:r>
    </w:p>
    <w:p w14:paraId="5CF3FA55" w14:textId="77777777" w:rsidR="00BC3615" w:rsidRPr="00DC354D" w:rsidRDefault="00000000">
      <w:pPr>
        <w:pStyle w:val="Affiliations"/>
        <w:framePr w:wrap="around"/>
        <w:rPr>
          <w:sz w:val="20"/>
          <w:szCs w:val="20"/>
        </w:rPr>
      </w:pPr>
      <w:r>
        <w:rPr>
          <w:rFonts w:hint="cs"/>
          <w:sz w:val="20"/>
          <w:szCs w:val="20"/>
          <w:rtl/>
        </w:rPr>
        <w:t>۴ شرکت دارا ویرا آزما، مرکز رشد و کارآفرینی دانشگاه اصفهان و آزمایشگاه خصوصی نوبل، اصفهان، ایران</w:t>
      </w:r>
    </w:p>
    <w:p w14:paraId="16D77A54" w14:textId="77777777" w:rsidR="00BC3615" w:rsidRPr="00DC354D" w:rsidRDefault="00000000">
      <w:pPr>
        <w:pStyle w:val="Affiliations"/>
        <w:framePr w:wrap="around"/>
        <w:rPr>
          <w:sz w:val="16"/>
        </w:rPr>
      </w:pPr>
      <w:r>
        <w:rPr>
          <w:rFonts w:hint="cs"/>
          <w:sz w:val="20"/>
          <w:szCs w:val="20"/>
          <w:rtl/>
        </w:rPr>
        <w:t>۵ شرکت نیلگون سپهر سلامت، واحد تحقیق و توسعه، اصفهان، ایران</w:t>
      </w:r>
    </w:p>
    <w:p w14:paraId="637CAE1F" w14:textId="0CAF1F41" w:rsidR="00BC3615" w:rsidRPr="00DC354D" w:rsidRDefault="00DC354D" w:rsidP="00DC354D">
      <w:pPr>
        <w:pStyle w:val="Affiliations"/>
        <w:framePr w:wrap="around"/>
        <w:bidi w:val="0"/>
        <w:rPr>
          <w:vertAlign w:val="superscript"/>
        </w:rPr>
      </w:pPr>
      <w:r>
        <w:rPr>
          <w:sz w:val="16"/>
          <w:vertAlign w:val="superscript"/>
        </w:rPr>
        <w:t>1</w:t>
      </w:r>
      <w:r>
        <w:rPr>
          <w:sz w:val="16"/>
        </w:rPr>
        <w:t xml:space="preserve">mahyarhaddadha@gmail.com, </w:t>
      </w:r>
      <w:r>
        <w:rPr>
          <w:sz w:val="16"/>
          <w:vertAlign w:val="superscript"/>
        </w:rPr>
        <w:t>2</w:t>
      </w:r>
      <w:r>
        <w:rPr>
          <w:sz w:val="16"/>
        </w:rPr>
        <w:t xml:space="preserve">gh.mogharehzadeh@eng.ui.ac.ir, </w:t>
      </w:r>
      <w:r>
        <w:rPr>
          <w:sz w:val="16"/>
          <w:vertAlign w:val="superscript"/>
        </w:rPr>
        <w:t>3</w:t>
      </w:r>
      <w:r>
        <w:rPr>
          <w:sz w:val="16"/>
        </w:rPr>
        <w:t xml:space="preserve">yazdchi@eng.ui.ac.ir, </w:t>
      </w:r>
      <w:r>
        <w:rPr>
          <w:sz w:val="16"/>
          <w:vertAlign w:val="superscript"/>
        </w:rPr>
        <w:t>4</w:t>
      </w:r>
      <w:r>
        <w:rPr>
          <w:sz w:val="16"/>
        </w:rPr>
        <w:t xml:space="preserve">dariush.shokri61@yahoo.com, </w:t>
      </w:r>
      <w:r>
        <w:rPr>
          <w:sz w:val="16"/>
          <w:vertAlign w:val="superscript"/>
        </w:rPr>
        <w:t>5</w:t>
      </w:r>
      <w:r>
        <w:rPr>
          <w:sz w:val="16"/>
        </w:rPr>
        <w:t>M.alihashemip@gmail.com</w:t>
      </w:r>
    </w:p>
    <w:p w14:paraId="2A1FFF56" w14:textId="77777777" w:rsidR="00DC354D" w:rsidRDefault="00DC354D">
      <w:pPr>
        <w:pStyle w:val="Abstract"/>
      </w:pPr>
    </w:p>
    <w:p w14:paraId="4130D1A6" w14:textId="44B26912" w:rsidR="00BC3615" w:rsidRDefault="00000000">
      <w:pPr>
        <w:pStyle w:val="Abstract"/>
        <w:rPr>
          <w:rtl/>
        </w:rPr>
      </w:pPr>
      <w:r>
        <w:rPr>
          <w:rFonts w:hint="cs"/>
          <w:rtl/>
        </w:rPr>
        <w:t xml:space="preserve">چکیده − قطر هاله عدم‌رشد اطراف هر دیسک آنتی‌بیوتیکی، در آزمون مرسوم دیسک-دیفیوژن، معمولاً به‌صورت دستی و با کولیس اندازه‌گیری می‌شود. در این مقاله، فرآیندی</w:t>
      </w:r>
      <w:r>
        <w:rPr>
          <w:rStyle w:val="FootnoteReference"/>
          <w:rFonts w:ascii="Mitra" w:hAnsi="Mitra" w:cs="Mitra"/>
        </w:rPr>
        <w:footnoteReference w:id="1"/>
      </w:r>
      <w:r>
        <w:rPr>
          <w:rFonts w:hint="cs"/>
          <w:rtl/>
        </w:rPr>
        <w:t xml:space="preserve"> تماماً کلاسیک در بینایی ماشین معرفی می‌شود که بدون استفاده از یادگیری ماشین، تنها از روی یک عکس ساده‌ی تلفن‌همراه، ظرف یا ظرف‌های پتری، دیسک‌های آنتی‌بیوتیک، مرز هاله‌ عدم‌رشد و رخدادهای غیرعادی داخل هاله را  تشخیص می‌دهد. ظرف پتری با آستانه‌گذاری چندسطحی ناحیه‌ای شناسایی می‌شود؛ دیسک‌ها با ترکیب دو روش مکمل استخراج می‌شوند و مرز هاله از ادغام سه شاخه‌ی مستقل (مبتنی بر پروفایل شعاعی، ناحیه‌بندی و رشد کنترل‌شده) به‌دست می‌آید. تمام پارامترهای هندسی نسبت به اندازه‌ی ظرف یا دیسک، نه پیکسلِ مطلق، تعریف شده‌اند تا فرآیند بدون آموزش مجدد، روی دوربین، نور و مقیاس متفاوت هم عمل کند. ارزیابی کمّی روی یک مجموعه‌داده‌ مستقل و کارشناسی‌شده (۱۱ عکس، ۹۳ دیسک) امتیاز </w:t>
      </w:r>
      <w:r>
        <w:rPr>
          <w:i w:val="0"/>
          <w:iCs/>
          <w:sz w:val="16"/>
          <w:szCs w:val="16"/>
        </w:rPr>
        <w:t>F1</w:t>
      </w:r>
      <w:r>
        <w:rPr>
          <w:rFonts w:hint="cs"/>
          <w:rtl/>
        </w:rPr>
        <w:t xml:space="preserve"> برای تشخیص دیسک را ۰٫۹۸۹ و خطای میانگین قطر هاله را ۳٫۸۵ میلی‌متر گزارش می‌کند. همچنین، طبقه‌بندی بالینی حساس/متوسط/مقاوم، بر اساس استاندارد اروپایی ارزیابی حساسیت میکروبی</w:t>
      </w:r>
      <w:r>
        <w:rPr>
          <w:rStyle w:val="FootnoteReference"/>
        </w:rPr>
        <w:t xml:space="preserve"> </w:t>
      </w:r>
      <w:r>
        <w:rPr>
          <w:rStyle w:val="FootnoteReference"/>
          <w:rFonts w:ascii="Mitra" w:hAnsi="Mitra" w:cs="Mitra"/>
        </w:rPr>
        <w:footnoteReference w:id="2"/>
      </w:r>
      <w:r>
        <w:rPr>
          <w:rFonts w:hint="cs"/>
          <w:rtl/>
        </w:rPr>
        <w:t xml:space="preserve">، نیز پیاده‌سازی و سنجیده شد. نتایج نشان می‌دهند دقت فعلی فرآیند هنوز به سطح پذیرش بالینی نرسیده است، اما مسیری برای بهبود آن به‌کمک یک مدل ریاضی مبتنی بر فیزیک نفوذ دارو پیشنهاد شده است. این پژوهش در قالبِ یک مطالعه‌ی پایلوت (Pilot Study) و اثباتِ مفهومِ اولیه (Proof of Concept) انجام شده و پیش از هرگونه استقرارِ بالینی، به اعتبارسنجی روی مجموعه‌داده‌های بزرگ‌تر نیاز دارد.</w:t>
      </w:r>
    </w:p>
    <w:p w14:paraId="4A9901B3" w14:textId="77777777" w:rsidR="00CD2295" w:rsidRDefault="00CD2295">
      <w:pPr>
        <w:pStyle w:val="Abstract"/>
      </w:pPr>
    </w:p>
    <w:p w14:paraId="08E7A6D9" w14:textId="77777777" w:rsidR="00BC3615" w:rsidRDefault="00000000">
      <w:pPr>
        <w:pStyle w:val="Index"/>
      </w:pPr>
      <w:r>
        <w:rPr>
          <w:rFonts w:hint="cs"/>
          <w:b/>
          <w:bCs/>
          <w:sz w:val="20"/>
          <w:szCs w:val="24"/>
          <w:rtl/>
        </w:rPr>
        <w:t xml:space="preserve">واژه‌های کلیدی: </w:t>
      </w:r>
      <w:r>
        <w:rPr>
          <w:rFonts w:hint="cs"/>
          <w:sz w:val="20"/>
          <w:szCs w:val="24"/>
          <w:rtl/>
        </w:rPr>
        <w:t xml:space="preserve">آنتی‌بایوگرام، بینایی ماشین کلاسیک، پردازش تصویر پزشکی، تشخیص دیسک-دیفیوژن، تقسیم‌بندی تصویر، هاله‌ی عدم‌رشد، استاندارد </w:t>
      </w:r>
      <w:r>
        <w:rPr>
          <w:rFonts w:asciiTheme="majorBidi" w:hAnsiTheme="majorBidi" w:cstheme="majorBidi"/>
          <w:sz w:val="14"/>
          <w:szCs w:val="18"/>
          <w:rtl/>
        </w:rPr>
        <w:t>EUCAST</w:t>
      </w:r>
    </w:p>
    <w:p w14:paraId="39F888A2" w14:textId="77777777" w:rsidR="00BC3615" w:rsidRDefault="00BC3615">
      <w:pPr>
        <w:sectPr w:rsidR="00BC3615">
          <w:footnotePr>
            <w:numRestart w:val="eachPage"/>
          </w:footnotePr>
          <w:type w:val="continuous"/>
          <w:pgSz w:w="11906" w:h="16838" w:code="9"/>
          <w:pgMar w:top="1418" w:right="1134" w:bottom="1418" w:left="1134" w:header="851" w:footer="567" w:gutter="0"/>
          <w:cols w:space="720"/>
          <w:bidi/>
          <w:rtlGutter/>
          <w15:footnoteColumns w:val="2"/>
        </w:sectPr>
      </w:pPr>
    </w:p>
    <w:p w14:paraId="0E9E725E" w14:textId="77777777" w:rsidR="00BC3615" w:rsidRDefault="00000000">
      <w:pPr>
        <w:pStyle w:val="Heading1"/>
      </w:pPr>
      <w:r>
        <w:rPr>
          <w:rFonts w:hint="cs"/>
          <w:rtl/>
        </w:rPr>
        <w:t>مقدمه</w:t>
      </w:r>
    </w:p>
    <w:p w14:paraId="6F962682" w14:textId="50AD8361" w:rsidR="00BC3615" w:rsidRDefault="00000000">
      <w:pPr>
        <w:pStyle w:val="Paragraph"/>
      </w:pPr>
      <w:r>
        <w:rPr>
          <w:rFonts w:hint="cs"/>
          <w:rtl/>
        </w:rPr>
        <w:t xml:space="preserve">مقاومت باکتری‌ها در برابر آنتی‌بیوتیک‌ها، یکی از جدی‌ترین چالش‌های سلامت عمومی در جهان به‌شمار می‌رود. برای انتخاب صحیح دارو برای هر بیمار، پزشک باید از پیش بداند باکتری عامل بیماری به کدام آنتی‌بیوتیک حساس است.</w:t>
      </w:r>
    </w:p>
    <w:p w14:paraId="6E50496D" w14:textId="0AE08F46" w:rsidR="00BC3615" w:rsidRDefault="00000000">
      <w:pPr>
        <w:pStyle w:val="Paragraph"/>
      </w:pPr>
      <w:r>
        <w:rPr>
          <w:rFonts w:hint="cs"/>
          <w:rtl/>
        </w:rPr>
        <w:t>یکی از رایج‌ترین روش‌های آزمایشگاهی برای این سنجش، آزمون دیسک-دیفیوژن</w:t>
      </w:r>
      <w:r>
        <w:rPr>
          <w:rStyle w:val="FootnoteReference"/>
          <w:rFonts w:ascii="Mitra" w:hAnsi="Mitra" w:cs="Mitra"/>
        </w:rPr>
        <w:footnoteReference w:id="3"/>
      </w:r>
      <w:r>
        <w:rPr>
          <w:rFonts w:hint="cs"/>
          <w:rtl/>
        </w:rPr>
        <w:t xml:space="preserve"> است که آزمون کربی-بائر</w:t>
      </w:r>
      <w:r>
        <w:rPr>
          <w:rStyle w:val="FootnoteReference"/>
          <w:rFonts w:ascii="Mitra" w:hAnsi="Mitra" w:cs="Mitra"/>
        </w:rPr>
        <w:footnoteReference w:id="4"/>
      </w:r>
      <w:r>
        <w:rPr>
          <w:rFonts w:hint="cs"/>
          <w:rtl/>
        </w:rPr>
        <w:t xml:space="preserve"> نیز نامیده می‌شود. در این آزمون، دیسک‌های کوچک کاغذی که هرکدام به یک آنتی‌بیوتیک مشخص آغشته شده‌اند، روی سطح یک ظرف کشت باکتری</w:t>
      </w:r>
      <w:r>
        <w:rPr>
          <w:rStyle w:val="FootnoteReference"/>
          <w:rFonts w:ascii="Mitra" w:hAnsi="Mitra" w:cs="Mitra"/>
        </w:rPr>
        <w:footnoteReference w:id="5"/>
      </w:r>
      <w:r>
        <w:rPr>
          <w:rFonts w:hint="cs"/>
          <w:rtl/>
        </w:rPr>
        <w:t xml:space="preserve">، قرار می‌گیرند. اگر باکتری نسبت به آن آنتی‌بیوتیک حساس باشد، اطراف دیسک ناحیه دایره‌ای بدون رشد باکتری شکل می‌گیرد که هاله‌ عدم‌رشد نام دارد. هرچه قطر این هاله بزرگ‌تر باشد، باکتری به آن دارو حساس‌تر است.</w:t>
      </w:r>
    </w:p>
    <w:p w14:paraId="191DD2B6" w14:textId="74A4616A" w:rsidR="00BC3615" w:rsidRDefault="00000000">
      <w:pPr>
        <w:pStyle w:val="Paragraph"/>
      </w:pPr>
      <w:r>
        <w:rPr>
          <w:rFonts w:hint="cs"/>
          <w:rtl/>
        </w:rPr>
        <w:t xml:space="preserve">در روال رایج آزمایشگاهی، قطر هاله با خط‌کش یا کولیس و به‌صورت دستی اندازه‌گیری می‌شود. این اندازه‌گیری دستی زمان‌بر و وابسته به مهارت فرد است و قرائت آن می‌تواند بین افراد مختلف، یا حتی برای یک نفر در دو نوبت جداگانه، متفاوت باشد.</w:t>
      </w:r>
    </w:p>
    <w:p w14:paraId="28294A30" w14:textId="4B41A698" w:rsidR="00BC3615" w:rsidRDefault="00000000">
      <w:pPr>
        <w:pStyle w:val="Paragraph"/>
      </w:pPr>
      <w:r>
        <w:rPr>
          <w:rFonts w:hint="cs"/>
          <w:rtl/>
        </w:rPr>
        <w:t xml:space="preserve">برای خودکارسازی این اندازه‌گیری، از دهه‌ی ۱۹۹۰ سامانه‌های گوناگون تحلیل تصویر پیشنهاد شده‌ است</w:t>
      </w:r>
      <w:r>
        <w:t>]</w:t>
      </w:r>
      <w:r>
        <w:rPr>
          <w:rFonts w:hint="cs"/>
          <w:rtl/>
        </w:rPr>
        <w:t>1-4</w:t>
      </w:r>
      <w:r>
        <w:t>[</w:t>
      </w:r>
      <w:r>
        <w:rPr>
          <w:rFonts w:hint="cs"/>
          <w:rtl/>
        </w:rPr>
        <w:t xml:space="preserve">. در سال‌های اخیر، چند نرم‌افزار موبایلی مبتنی بر یادگیری ماشین نیز در این زمینه معرفی شده‌اند</w:t>
      </w:r>
      <w:r>
        <w:t>]</w:t>
      </w:r>
      <w:r>
        <w:rPr>
          <w:rFonts w:hint="cs"/>
          <w:rtl/>
        </w:rPr>
        <w:t>5،4</w:t>
      </w:r>
      <w:r>
        <w:t>[</w:t>
      </w:r>
      <w:r>
        <w:rPr>
          <w:rFonts w:hint="cs"/>
          <w:rtl/>
        </w:rPr>
        <w:t xml:space="preserve">. این پژوهش‌ها نشان می‌دهند خودکارسازی این آزمون شدنی و مفید است، هرچند بیشترِ آن‌ها یا به مجموعه‌داده‌ برچسب‌خورده‌ی حجیم نیاز دارند، یا برای شرایط تصویربرداری محدودی طراحی شده‌اند.</w:t>
      </w:r>
    </w:p>
    <w:p w14:paraId="530FE482" w14:textId="622407EA" w:rsidR="00BC3615" w:rsidRDefault="00000000">
      <w:pPr>
        <w:pStyle w:val="Paragraph"/>
      </w:pPr>
      <w:r>
        <w:rPr>
          <w:rFonts w:hint="cs"/>
          <w:rtl/>
        </w:rPr>
        <w:t xml:space="preserve">در سال‌های اخیر، عکس گرفته‌شده با تلفن همراه به ابزاری ساده و در دسترس برای مستندسازی و حتی اندازه‌گیری خودکار این آزمون، تبدیل شده است. در این مقاله، فرآیندی معرفی می‌شود که تنها از روی یک عکس ساده، بدون نیاز به دوربین تخصصی یا نورپردازی کنترل‌شده، محل ظرف پتری، محل دیسک‌های آنتی‌بیوتیک و مرز دقیق هاله‌ عدم‌رشد را به‌ترتیب تشخیص می‌دهد و قطر هر هاله را بر حسب میلی‌متر گزارش می‌کند.</w:t>
      </w:r>
    </w:p>
    <w:p w14:paraId="23BE3D99" w14:textId="2A5D6C2F" w:rsidR="00BC3615" w:rsidRDefault="00000000">
      <w:pPr>
        <w:pStyle w:val="Paragraph"/>
      </w:pPr>
      <w:r>
        <w:rPr>
          <w:rFonts w:hint="cs"/>
          <w:rtl/>
        </w:rPr>
        <w:t xml:space="preserve">برخلاف بسیاری از روش‌های مشابه که بر یادگیری عمیق</w:t>
      </w:r>
      <w:r>
        <w:rPr>
          <w:rStyle w:val="FootnoteReference"/>
          <w:rFonts w:ascii="Mitra" w:hAnsi="Mitra" w:cs="Mitra"/>
        </w:rPr>
        <w:footnoteReference w:id="6"/>
      </w:r>
      <w:r>
        <w:rPr>
          <w:rFonts w:hint="cs"/>
          <w:rtl/>
        </w:rPr>
        <w:t xml:space="preserve"> تکیه دارند، این فرآیند تماماً بر پایه‌ی روش‌های کلاسیک بینایی ماشین ساخته شده و به هیچ داده‌ آموزشی نیاز ندارد. این انتخاب باعث می‌شود رفتار سامانه در هر </w:t>
        <w:lastRenderedPageBreak/>
        <w:t xml:space="preserve">مرحله قابل توضیح باشد، ویژگی‌ای که برای کاربرد آزمایشگاهی و تجاری اهمیت زیادی دارد. افزون بر اندازه‌گیری قطر، این فرآیند نتیجه را طبق استاندارد بین‌المللی </w:t>
      </w:r>
      <w:r>
        <w:rPr>
          <w:rFonts w:asciiTheme="majorBidi" w:hAnsiTheme="majorBidi" w:cstheme="majorBidi"/>
          <w:sz w:val="16"/>
          <w:szCs w:val="20"/>
          <w:rtl/>
        </w:rPr>
        <w:t>EUCAST</w:t>
      </w:r>
      <w:r>
        <w:rPr>
          <w:rFonts w:hint="cs"/>
          <w:rtl/>
        </w:rPr>
        <w:t xml:space="preserve"> به سه دسته‌ی حساس، متوسط، و مقاوم طبقه‌بندی می‌کند. لازم به ذکر است که این پژوهش، در جایگاهِ یک مطالعه‌ی پایلوت (Pilot Study) و اثباتِ مفهوم (Proof of Concept)، گامِ نخستِ این مسیر را دنبال می‌کند.</w:t>
      </w:r>
    </w:p>
    <w:p w14:paraId="4A80AE43" w14:textId="77777777" w:rsidR="00BC3615" w:rsidRDefault="00000000">
      <w:pPr>
        <w:pStyle w:val="Heading1"/>
      </w:pPr>
      <w:r>
        <w:rPr>
          <w:rFonts w:hint="cs"/>
          <w:rtl/>
        </w:rPr>
        <w:t>مواد و روش‌ها</w:t>
      </w:r>
    </w:p>
    <w:p w14:paraId="45AA287D" w14:textId="1B03A733" w:rsidR="00BC3615" w:rsidRDefault="00000000">
      <w:pPr>
        <w:pStyle w:val="Heading2"/>
      </w:pPr>
      <w:r>
        <w:rPr>
          <w:rFonts w:hint="cs"/>
          <w:rtl/>
        </w:rPr>
        <w:t>داده‌ها و تجهیزات تصویربرداری</w:t>
      </w:r>
    </w:p>
    <w:p w14:paraId="2BE02FAF" w14:textId="13632B21" w:rsidR="00BC3615" w:rsidRDefault="00000000">
      <w:pPr>
        <w:pStyle w:val="Paragraph"/>
      </w:pPr>
      <w:r>
        <w:rPr>
          <w:rFonts w:hint="cs"/>
          <w:rtl/>
        </w:rPr>
        <w:t xml:space="preserve">ورودی فرآیند تنها یک عکس دیجیتال از یک یا چند ظرف پتری است که با یک تلفن همراه معمولی گرفته می‌شود. هر ظرف می‌تواند شامل چندین دیسک آنتی‌بیوتیک استاندارد، با قطر فیزیکیِ ۶ میلی‌متر باشد که روی سطح محیط کشت قرار گرفته‌اند.</w:t>
      </w:r>
    </w:p>
    <w:p w14:paraId="5292121B" w14:textId="2B9809C3" w:rsidR="00BC3615" w:rsidRDefault="00000000">
      <w:pPr>
        <w:pStyle w:val="Paragraph"/>
        <w:rPr>
          <w:rtl/>
        </w:rPr>
      </w:pPr>
      <w:r>
        <w:rPr>
          <w:rFonts w:hint="cs"/>
          <w:rtl/>
        </w:rPr>
        <w:t xml:space="preserve">تمامی پارامترهای هندسی فرآیند نسبت به اندازه‌ی خود ظرف یا دیسک، نه بر حسب پیکسل مطلق تعریف شده‌اند. به همین دلیل، این روش بدون نیاز به کالیبراسیون مجدد، با دوربین‌ها، فاصله‌ها و شرایط نوری متفاوت قابل استفاده است.</w:t>
      </w:r>
    </w:p>
    <w:p w14:paraId="6929CBC9" w14:textId="77777777" w:rsidR="00A9548D" w:rsidRDefault="00A9548D" w:rsidP="00A9548D">
      <w:pPr>
        <w:pStyle w:val="Heading2"/>
      </w:pPr>
      <w:r>
        <w:rPr>
          <w:rFonts w:hint="cs"/>
          <w:rtl/>
        </w:rPr>
        <w:t>تشخیص ظرف پتری</w:t>
      </w:r>
    </w:p>
    <w:p w14:paraId="540544B6" w14:textId="5906A148" w:rsidR="00A9548D" w:rsidRPr="00A9548D" w:rsidRDefault="00A9548D" w:rsidP="00A9548D">
      <w:pPr>
        <w:pStyle w:val="Paragraph"/>
        <w:rPr>
          <w:rtl/>
        </w:rPr>
      </w:pPr>
      <w:r>
        <w:rPr>
          <w:rFonts w:hint="cs"/>
          <w:rtl/>
        </w:rPr>
        <w:t>در نخستین گام، محل دقیق ظرف پتری در عکس با یک روش آستانه‌گذاری ناحیه‌ای چندسطحی، بر پایه‌ی روش اُتسو</w:t>
      </w:r>
      <w:r>
        <w:rPr>
          <w:rStyle w:val="FootnoteReference"/>
          <w:rFonts w:ascii="Mitra" w:hAnsi="Mitra" w:cs="Mitra"/>
        </w:rPr>
        <w:footnoteReference w:id="7"/>
      </w:r>
      <w:r>
        <w:rPr>
          <w:rFonts w:hint="cs"/>
          <w:rtl/>
        </w:rPr>
        <w:t xml:space="preserve"> مشخص می‌شود</w:t>
      </w:r>
      <w:r>
        <w:t>[۸]</w:t>
      </w:r>
      <w:r>
        <w:rPr>
          <w:rFonts w:hint="cs"/>
          <w:rtl/>
        </w:rPr>
        <w:t>. این روش، پیش از هر تحلیل دیگر ناهمواری نور عکس را اصلاح می‌کند و سپس لبه‌ ظرف را از پس‌زمینه جدا می‌نماید. در ارزیابی روش پیشنهادی، این گام بر روی ۱۱ عکس آزمایش‌شد و بدون خطا، ظرف پتری در تمامی عکس‌ها به‌درستی تشخیص داده شد.</w:t>
      </w:r>
    </w:p>
    <w:p w14:paraId="46B9189E" w14:textId="77777777" w:rsidR="00A9548D" w:rsidRPr="00A9548D" w:rsidRDefault="00A9548D">
      <w:pPr>
        <w:pStyle w:val="Paragraph"/>
        <w:rPr>
          <w:rtl/>
        </w:rPr>
      </w:pPr>
    </w:p>
    <w:p w14:paraId="48CD853A" w14:textId="77777777" w:rsidR="00BC3615" w:rsidRDefault="00000000">
      <w:pPr>
        <w:pStyle w:val="FigurePosition"/>
      </w:pPr>
      <w:r>
        <w:rPr>
          <w:noProof/>
        </w:rPr>
        <w:drawing>
          <wp:inline distT="0" distB="0" distL="0" distR="0" wp14:anchorId="0DBACC0D" wp14:editId="1F810074">
            <wp:extent cx="2673350" cy="3856877"/>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pic:nvPicPr>
                  <pic:blipFill>
                    <a:blip r:embed="rId8"/>
                    <a:stretch>
                      <a:fillRect/>
                    </a:stretch>
                  </pic:blipFill>
                  <pic:spPr>
                    <a:xfrm>
                      <a:off x="0" y="0"/>
                      <a:ext cx="2713142" cy="3914286"/>
                    </a:xfrm>
                    <a:prstGeom prst="rect">
                      <a:avLst/>
                    </a:prstGeom>
                  </pic:spPr>
                </pic:pic>
              </a:graphicData>
            </a:graphic>
          </wp:inline>
        </w:drawing>
      </w:r>
    </w:p>
    <w:p w14:paraId="0F7CDFBC" w14:textId="5DCA0638" w:rsidR="00BC3615" w:rsidRDefault="00000000" w:rsidP="0094001F">
      <w:pPr>
        <w:pStyle w:val="Caption"/>
      </w:pPr>
      <w:r>
        <w:rPr>
          <w:rFonts w:hint="cs"/>
          <w:rtl/>
        </w:rPr>
        <w:t xml:space="preserve">شکل ۱: نمای کلی مراحل فرآیند</w:t>
      </w:r>
    </w:p>
    <w:p w14:paraId="04AA897F" w14:textId="18E0F983" w:rsidR="00BC3615" w:rsidRDefault="00000000">
      <w:pPr>
        <w:pStyle w:val="Heading2"/>
      </w:pPr>
      <w:r>
        <w:rPr>
          <w:rFonts w:hint="cs"/>
          <w:rtl/>
        </w:rPr>
        <w:t>تشخیص دیسک‌های آنتی‌بیوتیک</w:t>
      </w:r>
    </w:p>
    <w:p w14:paraId="1D697EBE" w14:textId="188EDF4E" w:rsidR="00BC3615" w:rsidRDefault="00000000">
      <w:pPr>
        <w:pStyle w:val="Paragraph"/>
      </w:pPr>
      <w:r>
        <w:rPr>
          <w:rFonts w:hint="cs"/>
          <w:rtl/>
        </w:rPr>
        <w:t xml:space="preserve">پس از مشخص شدن ناحیه‌ ظرف، دیسک‌های آنتی‌بیوتیکی با ترکیب دو روش مکمل تشخیص دایره جست‌وجو می‌شوند. یک روش، بر پایه‌ی تبدیل هاف دایره‌ای</w:t>
      </w:r>
      <w:r>
        <w:rPr>
          <w:rStyle w:val="FootnoteReference"/>
        </w:rPr>
        <w:t xml:space="preserve"> </w:t>
      </w:r>
      <w:r>
        <w:rPr>
          <w:rStyle w:val="FootnoteReference"/>
          <w:rFonts w:ascii="Mitra" w:hAnsi="Mitra" w:cs="Mitra"/>
        </w:rPr>
        <w:footnoteReference w:id="8"/>
      </w:r>
      <w:r>
        <w:rPr>
          <w:rFonts w:hint="cs"/>
          <w:rtl/>
        </w:rPr>
        <w:t xml:space="preserve">، دایره‌های احتمالی را جست‌وجو می‌کند و روش دیگر، این جست‌جو را از روی ویژگی‌های رنگی و بافتی دیسک‌ها انجام می‌دهد. نتیجه‌ی این دو روش با هم ترکیب شده تا هم دقت تشخیص و هم پوشش کامل دیسک‌ها تأمین شود.</w:t>
      </w:r>
    </w:p>
    <w:p w14:paraId="732FFBF0" w14:textId="31D632A1" w:rsidR="00BC3615" w:rsidRDefault="00000000">
      <w:pPr>
        <w:pStyle w:val="Paragraph"/>
      </w:pPr>
      <w:r>
        <w:rPr>
          <w:rFonts w:hint="cs"/>
          <w:rtl/>
        </w:rPr>
        <w:t xml:space="preserve">در گام بعدی، هر کاندید دیسک، با بررسی پیوستگی لبه دایره‌ای و تطبیق با یک الگوی ظاهری دیسک که مستقل از چرخش و برچسب روی دیسک است، مجدد راستی‌آزمایی می‌شود. این مرحله، تنها موارد باقی‌مانده‌ی تشخیص کاذب را بدون از دست دادن حتی یک دیسک واقعی حذف می‌کند.</w:t>
      </w:r>
    </w:p>
    <w:p w14:paraId="12E119E1" w14:textId="3C16937A" w:rsidR="00BC3615" w:rsidRDefault="00000000">
      <w:pPr>
        <w:pStyle w:val="Heading2"/>
      </w:pPr>
      <w:r>
        <w:rPr>
          <w:rFonts w:hint="cs"/>
          <w:rtl/>
        </w:rPr>
        <w:t xml:space="preserve">تعیین مرز هاله‌ عدم‌رشد</w:t>
      </w:r>
    </w:p>
    <w:p w14:paraId="60AA9199" w14:textId="27A95E1B" w:rsidR="00BC3615" w:rsidRDefault="00000000">
      <w:pPr>
        <w:pStyle w:val="Paragraph"/>
      </w:pPr>
      <w:r>
        <w:rPr>
          <w:rFonts w:hint="cs"/>
          <w:rtl/>
        </w:rPr>
        <w:t xml:space="preserve">تعیین دقیق مرز هاله، چالش‌برانگیزترین بخش این فرآیند بوده است. برای این شناسایی، ابتدا یک تصویر پایه از سطح آگار</w:t>
      </w:r>
      <w:r>
        <w:rPr>
          <w:rStyle w:val="FootnoteReference"/>
          <w:rFonts w:ascii="Mitra" w:hAnsi="Mitra" w:cs="Mitra"/>
        </w:rPr>
        <w:footnoteReference w:id="9"/>
      </w:r>
      <w:r>
        <w:rPr>
          <w:rFonts w:hint="cs"/>
          <w:rtl/>
        </w:rPr>
        <w:t xml:space="preserve"> اطراف هر دیسک ساخته می‌شود که در آن، ناهمواری نوردهی عکس، از جمله روشن‌تر بودن مرکز یا لبه‌های عکس نسبت به سایر اجزا، اصلاح شده است.</w:t>
      </w:r>
    </w:p>
    <w:p w14:paraId="0AA071A7" w14:textId="1686663E" w:rsidR="00BC3615" w:rsidRDefault="00000000" w:rsidP="00C96579">
      <w:pPr>
        <w:pStyle w:val="Paragraph"/>
      </w:pPr>
      <w:r>
        <w:rPr>
          <w:rFonts w:hint="cs"/>
          <w:rtl/>
        </w:rPr>
        <w:t xml:space="preserve">سپس مرز هاله با سه روش مستقل و مکمل برآورد می‌شود. روش نخست، پروفایل شعاعی روشنایی اطراف هر </w:t>
        <w:lastRenderedPageBreak/>
        <w:t xml:space="preserve">دیسک را بررسی می‌کند و نقطه‌ای را می‌یابد که روشنایی در آن به سطح زمینه‌ اطراف می‌رسد. روش دوم، تصویر را با آستانه‌گذاری اُتسو به دو ناحیه تقسیم می‌کند و روش سوم، با الگوریتم واترشد کنترل‌شده</w:t>
      </w:r>
      <w:r>
        <w:rPr>
          <w:rStyle w:val="FootnoteReference"/>
        </w:rPr>
        <w:t xml:space="preserve"> </w:t>
      </w:r>
      <w:r>
        <w:rPr>
          <w:rStyle w:val="FootnoteReference"/>
          <w:rFonts w:ascii="Mitra" w:hAnsi="Mitra" w:cs="Mitra"/>
        </w:rPr>
        <w:footnoteReference w:id="10"/>
      </w:r>
      <w:r>
        <w:rPr>
          <w:rFonts w:hint="cs"/>
          <w:rtl/>
        </w:rPr>
        <w:t xml:space="preserve">، مرز هر ناحیه را از روی لبه‌های واقعی تصویر می‌یابد. </w:t>
      </w:r>
      <w:r>
        <w:rPr>
          <w:rtl/>
          <w:lang w:bidi="ar-SA"/>
        </w:rPr>
        <w:t>در هر دو روش ناحیه‌ای، تعیین قطب‌های داخلی و خارجی هر ناحیه، به‌جای اتکا به فرض‌های پیش‌فرض و ثابت، بر اساس دورترین نقاط آگار نسبت به دیسک (با استناد به میزان روشنایی) انجام می‌شود</w:t>
      </w:r>
      <w:r>
        <w:rPr>
          <w:rFonts w:hint="cs"/>
          <w:rtl/>
          <w:lang w:bidi="ar-SA"/>
        </w:rPr>
        <w:t>.</w:t>
      </w:r>
    </w:p>
    <w:p w14:paraId="4834C9B1" w14:textId="66777350" w:rsidR="00BC3615" w:rsidRDefault="00000000">
      <w:pPr>
        <w:pStyle w:val="Paragraph"/>
      </w:pPr>
      <w:r>
        <w:rPr>
          <w:rFonts w:hint="cs"/>
          <w:rtl/>
        </w:rPr>
        <w:t xml:space="preserve">این سه روش نقاط قوت متفاوتی دارند. روش شعاعی تقریباً هیچ هاله‌ای را از قلم نمی‌اندازد، ولی دقت اندازه‌گیری کمتری دارد. دو روش ناحیه‌ای دقیق‌ترند، ولی گاهی هاله‌های کم‌رنگ را تشخیص نمی‌دهند. به همین دلیل، نتیجه‌ی نهایی از تقسیم کار بین این سه روش به‌دست می‌آید. هرجا یکی از دو روش ناحیه‌ای هاله‌ای را تشخیص دهد، اندازه‌گیری همان روش مبنا قرار می‌گیرد؛ در غیر این صورت، نتیجه‌ی روش شعاعی استفاده می‌شود. هیچ‌کدام از آستانه‌های این تصمیم‌گیری از روی داده‌ ارزیابی تنظیم نشده‌اند، بلکه همه بر پایه‌ی ویژگی‌های خود هر عکس تعیین می‌شوند.</w:t>
      </w:r>
    </w:p>
    <w:p w14:paraId="2C2A63B8" w14:textId="0F8FBF19" w:rsidR="00BC3615" w:rsidRDefault="00000000">
      <w:pPr>
        <w:pStyle w:val="Heading2"/>
      </w:pPr>
      <w:r>
        <w:rPr>
          <w:rFonts w:hint="cs"/>
          <w:rtl/>
        </w:rPr>
        <w:t>طبقه‌بندی بالینی</w:t>
      </w:r>
    </w:p>
    <w:p w14:paraId="71404A34" w14:textId="2F205CAF" w:rsidR="00BC3615" w:rsidRDefault="00000000">
      <w:pPr>
        <w:pStyle w:val="Paragraph"/>
      </w:pPr>
      <w:r>
        <w:rPr>
          <w:rFonts w:hint="cs"/>
          <w:rtl/>
        </w:rPr>
        <w:t xml:space="preserve">در گام آخر، قطر هر هاله طبق جدول‌های رسمی استاندارد اروپایی </w:t>
      </w:r>
      <w:r>
        <w:rPr>
          <w:rFonts w:asciiTheme="majorBidi" w:hAnsiTheme="majorBidi" w:cstheme="majorBidi"/>
          <w:sz w:val="16"/>
          <w:szCs w:val="20"/>
          <w:rtl/>
        </w:rPr>
        <w:t>EUCAST</w:t>
      </w:r>
      <w:r>
        <w:rPr>
          <w:rFonts w:hint="cs"/>
          <w:rtl/>
        </w:rPr>
        <w:t xml:space="preserve"> برای ارزیابی حساسیت میکروبی به یکی از سه دسته‌ی حساس، متوسط، یا مقاوم تبدیل می‌شود</w:t>
      </w:r>
      <w:r>
        <w:t>[۷]</w:t>
      </w:r>
      <w:r>
        <w:rPr>
          <w:rFonts w:hint="cs"/>
          <w:rtl/>
        </w:rPr>
        <w:t>.</w:t>
      </w:r>
    </w:p>
    <w:p w14:paraId="4A6BAE37" w14:textId="77777777" w:rsidR="00BC3615" w:rsidRDefault="00000000">
      <w:pPr>
        <w:pStyle w:val="Heading2"/>
      </w:pPr>
      <w:r>
        <w:rPr>
          <w:rFonts w:hint="cs"/>
          <w:rtl/>
        </w:rPr>
        <w:t>روشِ ارزیابی</w:t>
      </w:r>
    </w:p>
    <w:p w14:paraId="2007619A" w14:textId="3D8F4091" w:rsidR="00BC3615" w:rsidRDefault="00000000">
      <w:pPr>
        <w:pStyle w:val="Paragraph"/>
      </w:pPr>
      <w:r>
        <w:rPr>
          <w:rFonts w:hint="cs"/>
          <w:rtl/>
        </w:rPr>
        <w:t>برای سنجش دقت فرآیند، یک مجموعه‌داده‌ مرجع مستقل و کاملاً جدا از فرآیند توسعه، ساخته شد. این مجموعه شامل ۱۱ عکس واقعی از ظرف‌های آنتی‌بیوگرام است که در مجموع ۹۳ دیسک را دربر می‌گیرند.</w:t>
      </w:r>
    </w:p>
    <w:p w14:paraId="563820D1" w14:textId="78D0DF1C" w:rsidR="00BC3615" w:rsidRDefault="00000000">
      <w:pPr>
        <w:pStyle w:val="Paragraph"/>
      </w:pPr>
      <w:r>
        <w:rPr>
          <w:rFonts w:hint="cs"/>
          <w:rtl/>
        </w:rPr>
        <w:t>محل دقیق هر دیسک، به‌طور مستقل و با ابزاری جدا از فرآیند اصلی، مشخص شد. این کار عمدی بود، تا خطاهای احتمالی فرآیند، به‌جای پنهان ماندن در معیار مرجع، در ارزیابی آشکار شوند. سپس یک کارشناس آزمایشگاهی، قطر هر هاله را به‌صورت دستی و با کولیس، اندازه‌گیری نمود. دقت فرآیند، با مقایسه‌ی خروجی آن با همین خوانش کارشناس، سنجیده شد.</w:t>
      </w:r>
    </w:p>
    <w:p w14:paraId="424FE3E4" w14:textId="77777777" w:rsidR="00BC3615" w:rsidRDefault="00000000">
      <w:pPr>
        <w:pStyle w:val="Heading1"/>
      </w:pPr>
      <w:r>
        <w:rPr>
          <w:rFonts w:hint="cs"/>
          <w:rtl/>
        </w:rPr>
        <w:t>نتایج</w:t>
      </w:r>
    </w:p>
    <w:p w14:paraId="0DE6863C" w14:textId="000C39B9" w:rsidR="00BC3615" w:rsidRDefault="00000000">
      <w:pPr>
        <w:pStyle w:val="Heading2"/>
      </w:pPr>
      <w:r>
        <w:rPr>
          <w:rFonts w:hint="cs"/>
          <w:rtl/>
        </w:rPr>
        <w:t>ارزیابی کمّی</w:t>
      </w:r>
    </w:p>
    <w:p w14:paraId="5FB86E8E" w14:textId="27CA206B" w:rsidR="00BC3615" w:rsidRDefault="00000000">
      <w:pPr>
        <w:pStyle w:val="Paragraph"/>
      </w:pPr>
      <w:r>
        <w:rPr>
          <w:rFonts w:hint="cs"/>
          <w:rtl/>
        </w:rPr>
        <w:t>جدول ۱ خلاصه‌ نتایج فرآیند را روی مجموعه‌داده مرجع نشان می‌دهد.</w:t>
      </w:r>
    </w:p>
    <w:p w14:paraId="417637B8" w14:textId="77777777" w:rsidR="00BC3615" w:rsidRDefault="00BC3615">
      <w:pPr>
        <w:sectPr w:rsidR="00BC3615">
          <w:footnotePr>
            <w:numRestart w:val="eachPage"/>
          </w:footnotePr>
          <w:type w:val="continuous"/>
          <w:pgSz w:w="11906" w:h="16838" w:code="9"/>
          <w:pgMar w:top="1418" w:right="1134" w:bottom="1418" w:left="1134" w:header="851" w:footer="567" w:gutter="0"/>
          <w:cols w:num="2" w:space="340"/>
          <w:bidi/>
          <w:rtlGutter/>
        </w:sectPr>
      </w:pPr>
    </w:p>
    <w:p w14:paraId="79CC2380" w14:textId="77777777" w:rsidR="002B57D8" w:rsidRDefault="002B57D8">
      <w:pPr>
        <w:pStyle w:val="TableTitle"/>
        <w:rPr>
          <w:sz w:val="18"/>
          <w:szCs w:val="18"/>
          <w:rtl/>
        </w:rPr>
      </w:pPr>
    </w:p>
    <w:p w14:paraId="6F446A87" w14:textId="49B9D924" w:rsidR="00BC3615" w:rsidRPr="0094001F" w:rsidRDefault="00000000">
      <w:pPr>
        <w:pStyle w:val="TableTitle"/>
        <w:rPr>
          <w:sz w:val="18"/>
          <w:szCs w:val="18"/>
        </w:rPr>
      </w:pPr>
      <w:r>
        <w:rPr>
          <w:rFonts w:hint="cs"/>
          <w:sz w:val="18"/>
          <w:szCs w:val="18"/>
          <w:rtl/>
        </w:rPr>
        <w:t xml:space="preserve">جدول 1: خلاصه‌ ارزیابی فرآیند روی ۱۱ عکس پتری با 93 دیسک</w:t>
      </w:r>
    </w:p>
    <w:tbl>
      <w:tblPr>
        <w:bidiVisual/>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00"/>
        <w:gridCol w:w="2400"/>
      </w:tblGrid>
      <w:tr w:rsidR="00BC3615" w14:paraId="1A14E1BA" w14:textId="77777777" w:rsidTr="002B57D8">
        <w:trPr>
          <w:cantSplit/>
          <w:tblHeader/>
          <w:jc w:val="center"/>
        </w:trPr>
        <w:tc>
          <w:tcPr>
            <w:tcW w:w="6200" w:type="dxa"/>
            <w:shd w:val="clear" w:color="auto" w:fill="D9D9D9"/>
            <w:vAlign w:val="center"/>
          </w:tcPr>
          <w:p w14:paraId="2EB7B155" w14:textId="77777777" w:rsidR="00BC3615" w:rsidRPr="002B57D8" w:rsidRDefault="00000000">
            <w:pPr>
              <w:jc w:val="center"/>
              <w:rPr>
                <w:sz w:val="18"/>
                <w:szCs w:val="18"/>
              </w:rPr>
            </w:pPr>
            <w:r>
              <w:rPr>
                <w:rFonts w:hint="cs"/>
                <w:b/>
                <w:bCs/>
                <w:sz w:val="18"/>
                <w:szCs w:val="18"/>
                <w:rtl/>
              </w:rPr>
              <w:t>معیار</w:t>
            </w:r>
          </w:p>
        </w:tc>
        <w:tc>
          <w:tcPr>
            <w:tcW w:w="2400" w:type="dxa"/>
            <w:shd w:val="clear" w:color="auto" w:fill="D9D9D9"/>
            <w:vAlign w:val="center"/>
          </w:tcPr>
          <w:p w14:paraId="581AE01F" w14:textId="77777777" w:rsidR="00BC3615" w:rsidRPr="002B57D8" w:rsidRDefault="00000000">
            <w:pPr>
              <w:jc w:val="center"/>
              <w:rPr>
                <w:sz w:val="18"/>
                <w:szCs w:val="18"/>
              </w:rPr>
            </w:pPr>
            <w:r>
              <w:rPr>
                <w:rFonts w:hint="cs"/>
                <w:b/>
                <w:bCs/>
                <w:sz w:val="18"/>
                <w:szCs w:val="18"/>
                <w:rtl/>
              </w:rPr>
              <w:t>مقدار</w:t>
            </w:r>
          </w:p>
        </w:tc>
      </w:tr>
      <w:tr w:rsidR="00BC3615" w14:paraId="34BEDE35" w14:textId="77777777" w:rsidTr="002B57D8">
        <w:trPr>
          <w:cantSplit/>
          <w:jc w:val="center"/>
        </w:trPr>
        <w:tc>
          <w:tcPr>
            <w:tcW w:w="6200" w:type="dxa"/>
            <w:vAlign w:val="center"/>
          </w:tcPr>
          <w:p w14:paraId="2E245598" w14:textId="32CFB4D0" w:rsidR="00BC3615" w:rsidRPr="002B57D8" w:rsidRDefault="00B910DA">
            <w:pPr>
              <w:jc w:val="center"/>
              <w:rPr>
                <w:sz w:val="18"/>
                <w:szCs w:val="18"/>
              </w:rPr>
            </w:pPr>
            <w:r>
              <w:rPr>
                <w:rFonts w:hint="cs"/>
                <w:sz w:val="18"/>
                <w:szCs w:val="18"/>
                <w:rtl/>
              </w:rPr>
              <w:t xml:space="preserve"> دقت تشخیص ظرف پتری</w:t>
            </w:r>
          </w:p>
        </w:tc>
        <w:tc>
          <w:tcPr>
            <w:tcW w:w="2400" w:type="dxa"/>
            <w:vAlign w:val="center"/>
          </w:tcPr>
          <w:p w14:paraId="42F46476" w14:textId="349A68CA" w:rsidR="00BC3615" w:rsidRPr="002B57D8" w:rsidRDefault="00000000">
            <w:pPr>
              <w:jc w:val="center"/>
              <w:rPr>
                <w:sz w:val="18"/>
                <w:szCs w:val="18"/>
              </w:rPr>
            </w:pPr>
            <w:r>
              <w:rPr>
                <w:rFonts w:hint="cs"/>
                <w:sz w:val="18"/>
                <w:szCs w:val="18"/>
                <w:rtl/>
              </w:rPr>
              <w:t>۱۰۰درصد</w:t>
            </w:r>
          </w:p>
        </w:tc>
      </w:tr>
      <w:tr w:rsidR="00BC3615" w14:paraId="217A3731" w14:textId="77777777" w:rsidTr="002B57D8">
        <w:trPr>
          <w:cantSplit/>
          <w:jc w:val="center"/>
        </w:trPr>
        <w:tc>
          <w:tcPr>
            <w:tcW w:w="6200" w:type="dxa"/>
            <w:vAlign w:val="center"/>
          </w:tcPr>
          <w:p w14:paraId="195F5AD8" w14:textId="655858EA" w:rsidR="00BC3615" w:rsidRPr="002B57D8" w:rsidRDefault="00000000">
            <w:pPr>
              <w:jc w:val="center"/>
              <w:rPr>
                <w:sz w:val="18"/>
                <w:szCs w:val="18"/>
              </w:rPr>
            </w:pPr>
            <w:r>
              <w:rPr>
                <w:rFonts w:hint="cs"/>
                <w:sz w:val="18"/>
                <w:szCs w:val="18"/>
                <w:rtl/>
              </w:rPr>
              <w:t xml:space="preserve">تشخیص دیسک (امتیاز </w:t>
            </w:r>
            <w:r>
              <w:rPr>
                <w:rFonts w:asciiTheme="majorBidi" w:hAnsiTheme="majorBidi" w:cstheme="majorBidi"/>
                <w:sz w:val="14"/>
                <w:szCs w:val="14"/>
              </w:rPr>
              <w:t>1</w:t>
            </w:r>
            <w:r>
              <w:rPr>
                <w:rFonts w:asciiTheme="majorBidi" w:hAnsiTheme="majorBidi" w:cstheme="majorBidi" w:hint="cs"/>
                <w:sz w:val="14"/>
                <w:szCs w:val="14"/>
                <w:rtl/>
              </w:rPr>
              <w:t>F</w:t>
            </w:r>
            <w:r>
              <w:rPr>
                <w:rFonts w:hint="cs"/>
                <w:sz w:val="18"/>
                <w:szCs w:val="18"/>
                <w:rtl/>
              </w:rPr>
              <w:t>)</w:t>
            </w:r>
          </w:p>
        </w:tc>
        <w:tc>
          <w:tcPr>
            <w:tcW w:w="2400" w:type="dxa"/>
            <w:vAlign w:val="center"/>
          </w:tcPr>
          <w:p w14:paraId="7A2CBDCC" w14:textId="344CDCDB" w:rsidR="00BC3615" w:rsidRPr="002B57D8" w:rsidRDefault="00B910DA">
            <w:pPr>
              <w:jc w:val="center"/>
              <w:rPr>
                <w:sz w:val="18"/>
                <w:szCs w:val="18"/>
              </w:rPr>
            </w:pPr>
            <w:r>
              <w:rPr>
                <w:rFonts w:hint="cs"/>
                <w:sz w:val="18"/>
                <w:szCs w:val="18"/>
                <w:rtl/>
              </w:rPr>
              <w:t>989/0</w:t>
            </w:r>
          </w:p>
        </w:tc>
      </w:tr>
      <w:tr w:rsidR="00BC3615" w14:paraId="6971A902" w14:textId="77777777" w:rsidTr="002B57D8">
        <w:trPr>
          <w:cantSplit/>
          <w:jc w:val="center"/>
        </w:trPr>
        <w:tc>
          <w:tcPr>
            <w:tcW w:w="6200" w:type="dxa"/>
            <w:vAlign w:val="center"/>
          </w:tcPr>
          <w:p w14:paraId="68A424D8" w14:textId="33B9222E" w:rsidR="00BC3615" w:rsidRPr="002B57D8" w:rsidRDefault="00000000">
            <w:pPr>
              <w:jc w:val="center"/>
              <w:rPr>
                <w:sz w:val="18"/>
                <w:szCs w:val="18"/>
              </w:rPr>
            </w:pPr>
            <w:r>
              <w:rPr>
                <w:rFonts w:hint="cs"/>
                <w:sz w:val="18"/>
                <w:szCs w:val="18"/>
                <w:rtl/>
              </w:rPr>
              <w:t xml:space="preserve">دقت کلی تشخیص حضور هاله (نسبت دیسک‌هایی که وجود یا عدم وجود هاله‌شان درست تشخیص داده شد)</w:t>
            </w:r>
          </w:p>
        </w:tc>
        <w:tc>
          <w:tcPr>
            <w:tcW w:w="2400" w:type="dxa"/>
            <w:vAlign w:val="center"/>
          </w:tcPr>
          <w:p w14:paraId="7C266EB2" w14:textId="4DF56D4E" w:rsidR="00BC3615" w:rsidRPr="002B57D8" w:rsidRDefault="00B910DA">
            <w:pPr>
              <w:jc w:val="center"/>
              <w:rPr>
                <w:sz w:val="18"/>
                <w:szCs w:val="18"/>
              </w:rPr>
            </w:pPr>
            <w:r>
              <w:rPr>
                <w:rFonts w:hint="cs"/>
                <w:sz w:val="18"/>
                <w:szCs w:val="18"/>
                <w:rtl/>
              </w:rPr>
              <w:t>824/0</w:t>
            </w:r>
          </w:p>
        </w:tc>
      </w:tr>
      <w:tr w:rsidR="00BC3615" w14:paraId="4E54F474" w14:textId="77777777" w:rsidTr="002B57D8">
        <w:trPr>
          <w:cantSplit/>
          <w:jc w:val="center"/>
        </w:trPr>
        <w:tc>
          <w:tcPr>
            <w:tcW w:w="6200" w:type="dxa"/>
            <w:vAlign w:val="center"/>
          </w:tcPr>
          <w:p w14:paraId="486DA5CA" w14:textId="1FF0C05D" w:rsidR="00BC3615" w:rsidRPr="002B57D8" w:rsidRDefault="00000000">
            <w:pPr>
              <w:jc w:val="center"/>
              <w:rPr>
                <w:sz w:val="18"/>
                <w:szCs w:val="18"/>
              </w:rPr>
            </w:pPr>
            <w:r>
              <w:rPr>
                <w:rFonts w:hint="cs"/>
                <w:sz w:val="18"/>
                <w:szCs w:val="18"/>
                <w:rtl/>
              </w:rPr>
              <w:t>خطای میانگین قطر هاله (</w:t>
            </w:r>
            <w:r>
              <w:rPr>
                <w:rFonts w:asciiTheme="majorBidi" w:hAnsiTheme="majorBidi" w:cstheme="majorBidi"/>
                <w:sz w:val="14"/>
                <w:szCs w:val="14"/>
                <w:rtl/>
              </w:rPr>
              <w:t>MAE</w:t>
            </w:r>
            <w:r>
              <w:rPr>
                <w:rFonts w:hint="cs"/>
                <w:sz w:val="18"/>
                <w:szCs w:val="18"/>
                <w:rtl/>
              </w:rPr>
              <w:t xml:space="preserve">) بر حسب میلی‌متر</w:t>
            </w:r>
          </w:p>
        </w:tc>
        <w:tc>
          <w:tcPr>
            <w:tcW w:w="2400" w:type="dxa"/>
            <w:vAlign w:val="center"/>
          </w:tcPr>
          <w:p w14:paraId="317E1E16" w14:textId="672BECF0" w:rsidR="00BC3615" w:rsidRPr="002B57D8" w:rsidRDefault="00B910DA">
            <w:pPr>
              <w:jc w:val="center"/>
              <w:rPr>
                <w:sz w:val="18"/>
                <w:szCs w:val="18"/>
              </w:rPr>
            </w:pPr>
            <w:r>
              <w:rPr>
                <w:rFonts w:hint="cs"/>
                <w:sz w:val="18"/>
                <w:szCs w:val="18"/>
                <w:rtl/>
              </w:rPr>
              <w:t>85/3</w:t>
            </w:r>
          </w:p>
        </w:tc>
      </w:tr>
      <w:tr w:rsidR="00BC3615" w14:paraId="06A21F80" w14:textId="77777777" w:rsidTr="002B57D8">
        <w:trPr>
          <w:cantSplit/>
          <w:jc w:val="center"/>
        </w:trPr>
        <w:tc>
          <w:tcPr>
            <w:tcW w:w="6200" w:type="dxa"/>
            <w:vAlign w:val="center"/>
          </w:tcPr>
          <w:p w14:paraId="2C32E467" w14:textId="5690DE4F" w:rsidR="00BC3615" w:rsidRPr="002B57D8" w:rsidRDefault="00000000">
            <w:pPr>
              <w:jc w:val="center"/>
              <w:rPr>
                <w:sz w:val="18"/>
                <w:szCs w:val="18"/>
              </w:rPr>
            </w:pPr>
            <w:r>
              <w:rPr>
                <w:rFonts w:hint="cs"/>
                <w:sz w:val="18"/>
                <w:szCs w:val="18"/>
                <w:rtl/>
              </w:rPr>
              <w:t xml:space="preserve">دقت طبقه‌بندی بالینی </w:t>
            </w:r>
            <w:r>
              <w:rPr>
                <w:rFonts w:asciiTheme="majorBidi" w:hAnsiTheme="majorBidi" w:cstheme="majorBidi" w:hint="cs"/>
                <w:sz w:val="14"/>
                <w:szCs w:val="14"/>
                <w:rtl/>
              </w:rPr>
              <w:t>EUCAST</w:t>
            </w:r>
            <w:r>
              <w:rPr>
                <w:rFonts w:hint="cs"/>
                <w:sz w:val="18"/>
                <w:szCs w:val="18"/>
                <w:rtl/>
              </w:rPr>
              <w:t xml:space="preserve"> (نسبت دسته‌بندی صحیح حساس/متوسط/مقاوم)</w:t>
            </w:r>
          </w:p>
        </w:tc>
        <w:tc>
          <w:tcPr>
            <w:tcW w:w="2400" w:type="dxa"/>
            <w:vAlign w:val="center"/>
          </w:tcPr>
          <w:p w14:paraId="37710A3A" w14:textId="0B356FFC" w:rsidR="00BC3615" w:rsidRPr="002B57D8" w:rsidRDefault="00B910DA">
            <w:pPr>
              <w:jc w:val="center"/>
              <w:rPr>
                <w:sz w:val="18"/>
                <w:szCs w:val="18"/>
              </w:rPr>
            </w:pPr>
            <w:r>
              <w:rPr>
                <w:rFonts w:hint="cs"/>
                <w:sz w:val="18"/>
                <w:szCs w:val="18"/>
                <w:rtl/>
              </w:rPr>
              <w:t>2/83 درصد</w:t>
            </w:r>
          </w:p>
        </w:tc>
      </w:tr>
      <w:tr w:rsidR="00BC3615" w14:paraId="4C1D0FDB" w14:textId="77777777" w:rsidTr="002B57D8">
        <w:trPr>
          <w:cantSplit/>
          <w:jc w:val="center"/>
        </w:trPr>
        <w:tc>
          <w:tcPr>
            <w:tcW w:w="6200" w:type="dxa"/>
            <w:vAlign w:val="center"/>
          </w:tcPr>
          <w:p w14:paraId="149F2F78" w14:textId="2DC07C92" w:rsidR="00BC3615" w:rsidRPr="002B57D8" w:rsidRDefault="00000000">
            <w:pPr>
              <w:jc w:val="center"/>
              <w:rPr>
                <w:sz w:val="18"/>
                <w:szCs w:val="18"/>
              </w:rPr>
            </w:pPr>
            <w:r>
              <w:rPr>
                <w:rFonts w:hint="cs"/>
                <w:sz w:val="18"/>
                <w:szCs w:val="18"/>
                <w:rtl/>
              </w:rPr>
              <w:t>خطای طبقه‌بندی بالینی: بسیار عمده / عمده</w:t>
            </w:r>
            <w:r>
              <w:rPr>
                <w:sz w:val="18"/>
                <w:szCs w:val="18"/>
              </w:rPr>
              <w:t xml:space="preserve"> (</w:t>
            </w:r>
            <w:r>
              <w:rPr>
                <w:rFonts w:asciiTheme="majorBidi" w:hAnsiTheme="majorBidi" w:cstheme="majorBidi"/>
                <w:sz w:val="14"/>
                <w:szCs w:val="14"/>
              </w:rPr>
              <w:t>VME</w:t>
            </w:r>
            <w:r>
              <w:rPr>
                <w:sz w:val="18"/>
                <w:szCs w:val="18"/>
              </w:rPr>
              <w:t>/</w:t>
            </w:r>
            <w:r>
              <w:rPr>
                <w:rFonts w:asciiTheme="majorBidi" w:hAnsiTheme="majorBidi" w:cstheme="majorBidi"/>
                <w:sz w:val="14"/>
                <w:szCs w:val="14"/>
              </w:rPr>
              <w:t>ME</w:t>
            </w:r>
            <w:r>
              <w:rPr>
                <w:sz w:val="18"/>
                <w:szCs w:val="18"/>
              </w:rPr>
              <w:t>)</w:t>
            </w:r>
          </w:p>
        </w:tc>
        <w:tc>
          <w:tcPr>
            <w:tcW w:w="2400" w:type="dxa"/>
            <w:vAlign w:val="center"/>
          </w:tcPr>
          <w:p w14:paraId="39ECCA63" w14:textId="22BD6980" w:rsidR="00BC3615" w:rsidRPr="002B57D8" w:rsidRDefault="00E77957">
            <w:pPr>
              <w:jc w:val="center"/>
              <w:rPr>
                <w:sz w:val="18"/>
                <w:szCs w:val="18"/>
              </w:rPr>
            </w:pPr>
            <w:r>
              <w:rPr>
                <w:rFonts w:hint="cs"/>
                <w:sz w:val="18"/>
                <w:szCs w:val="18"/>
                <w:rtl/>
              </w:rPr>
              <w:t>2/9 درصد / 2/6 درصد</w:t>
            </w:r>
          </w:p>
        </w:tc>
      </w:tr>
    </w:tbl>
    <w:p w14:paraId="11F620E0" w14:textId="77777777" w:rsidR="00BC3615" w:rsidRDefault="00BC3615"/>
    <w:p w14:paraId="2A57DC76" w14:textId="77777777" w:rsidR="002B57D8" w:rsidRDefault="002B57D8">
      <w:pPr>
        <w:sectPr w:rsidR="002B57D8">
          <w:type w:val="continuous"/>
          <w:pgSz w:w="11906" w:h="16838" w:code="9"/>
          <w:pgMar w:top="1418" w:right="1134" w:bottom="1418" w:left="1134" w:header="851" w:footer="567" w:gutter="0"/>
          <w:cols w:space="720"/>
          <w:bidi/>
          <w:rtlGutter/>
        </w:sectPr>
      </w:pPr>
    </w:p>
    <w:p w14:paraId="07B15F5B" w14:textId="19DBD057" w:rsidR="00BC3615" w:rsidRDefault="00000000">
      <w:pPr>
        <w:pStyle w:val="Paragraph"/>
      </w:pPr>
      <w:r>
        <w:rPr>
          <w:rFonts w:hint="cs"/>
          <w:rtl/>
        </w:rPr>
        <w:t xml:space="preserve">تشخیص دیسک با دقت ۱٫۰۰۰ و بازخوانی ۰٫۹۷۸ همراه است. به این معنی از میان ۹۳ دیسک حقیقی، تنها دو دیسک از قلم افتاده‌اند و هیچ کاندید کاذبی پذیرفته نشده است. خطای اندازه‌گیری قطر خود دیسک نیز بسیار ناچیز است و کمتر از یک‌چهارم میلی‌متر باقی می‌ماند.</w:t>
      </w:r>
    </w:p>
    <w:p w14:paraId="6B036DD4" w14:textId="0B635A45" w:rsidR="002B57D8" w:rsidRDefault="00E77957" w:rsidP="00A9548D">
      <w:pPr>
        <w:pStyle w:val="Paragraph"/>
        <w:rPr>
          <w:rtl/>
        </w:rPr>
      </w:pPr>
      <w:r>
        <w:rPr>
          <w:rtl/>
          <w:lang w:bidi="ar-SA"/>
        </w:rPr>
        <w:t xml:space="preserve">دو ردیف انتهایی جدول </w:t>
      </w:r>
      <w:r>
        <w:rPr>
          <w:rtl/>
        </w:rPr>
        <w:t>۱</w:t>
      </w:r>
      <w:r>
        <w:rPr>
          <w:rtl/>
          <w:lang w:bidi="ar-SA"/>
        </w:rPr>
        <w:t>، بیانگر طبقه‌بندی بالینی نهایی هستند. در این جدول، خطای بسیار عمده</w:t>
      </w:r>
      <w:r>
        <w:t xml:space="preserve"> (VME) </w:t>
      </w:r>
      <w:r>
        <w:rPr>
          <w:rtl/>
          <w:lang w:bidi="ar-SA"/>
        </w:rPr>
        <w:t>به درصد مواردی اطلاق می‌شود که دیسک مقاوم، به‌اشتباه حساس</w:t>
      </w:r>
      <w:r>
        <w:rPr>
          <w:rFonts w:hint="cs"/>
          <w:rtl/>
          <w:lang w:bidi="ar-SA"/>
        </w:rPr>
        <w:t xml:space="preserve"> </w:t>
      </w:r>
      <w:r>
        <w:rPr>
          <w:rtl/>
          <w:lang w:bidi="ar-SA"/>
        </w:rPr>
        <w:t>گزارش شده است؛ در مقابل، خطای عمده</w:t>
      </w:r>
      <w:r>
        <w:t xml:space="preserve"> (ME) </w:t>
      </w:r>
      <w:r>
        <w:rPr>
          <w:rtl/>
          <w:lang w:bidi="ar-SA"/>
        </w:rPr>
        <w:t>درصد موارد عکس (گزارش حساس به‌جای مقاوم) را نشان می‌دهد. شایان ذکر است که هر دو شاخص، بیانگر خطاهای سطح سیستم در تصمیم‌گیری بالینی (حساس/متوسط/مقاوم) هستند و نباید با خطای اندازه‌گیری فیزیکی قطر هاله</w:t>
      </w:r>
      <w:r>
        <w:t xml:space="preserve"> </w:t>
      </w:r>
      <w:r>
        <w:rPr>
          <w:rtl/>
          <w:lang w:bidi="ar-SA"/>
        </w:rPr>
        <w:t>اشتباه گرفته شوند</w:t>
      </w:r>
      <w:r>
        <w:rPr>
          <w:rFonts w:hint="cs"/>
          <w:rtl/>
        </w:rPr>
        <w:t>.</w:t>
      </w:r>
    </w:p>
    <w:p w14:paraId="73C203A7" w14:textId="595B7A7F" w:rsidR="00A9548D" w:rsidRDefault="00A9548D" w:rsidP="00A9548D">
      <w:pPr>
        <w:pStyle w:val="Paragraph"/>
        <w:rPr>
          <w:rtl/>
        </w:rPr>
      </w:pPr>
      <w:r>
        <w:rPr>
          <w:rtl/>
          <w:lang w:bidi="ar-SA"/>
        </w:rPr>
        <w:t xml:space="preserve">میانگین خطای اندازه‌گیری قطر هاله برابر با </w:t>
      </w:r>
      <w:r>
        <w:rPr>
          <w:rFonts w:hint="cs"/>
          <w:rtl/>
        </w:rPr>
        <w:t>85/3</w:t>
      </w:r>
      <w:r>
        <w:rPr>
          <w:rtl/>
          <w:lang w:bidi="ar-SA"/>
        </w:rPr>
        <w:t xml:space="preserve"> میلی‌متر است. با این حال، برای تفسیر صحیح این مقدار، باید توجه داشت که فرآیند خوانش دستی توسط کارشناسان نیز از خطای ذاتی برخوردار است. طبق اعلام آزمایشگاه مرجع، حتی در بهترین حالت، اختلاف میان خوانش‌های کارشناسان تا </w:t>
      </w:r>
      <w:r>
        <w:rPr>
          <w:rFonts w:hint="cs"/>
          <w:rtl/>
          <w:lang w:bidi="ar-SA"/>
        </w:rPr>
        <w:t>2</w:t>
      </w:r>
      <w:r>
        <w:rPr>
          <w:rFonts w:cs="Times New Roman"/>
          <w:rtl/>
          <w:lang w:bidi="ar-SA"/>
        </w:rPr>
        <w:t>±</w:t>
      </w:r>
      <w:r>
        <w:rPr>
          <w:rFonts w:cs="Times New Roman" w:hint="cs"/>
          <w:rtl/>
          <w:lang w:bidi="ar-SA"/>
        </w:rPr>
        <w:t xml:space="preserve"> </w:t>
      </w:r>
      <w:r>
        <w:rPr>
          <w:rtl/>
          <w:lang w:bidi="ar-SA"/>
        </w:rPr>
        <w:t xml:space="preserve">میلی‌متر متغیر است. شبیه‌سازیِ حضور یک ارزیاب انسانی دوم با لحاظ کردن این میزان نویز نشان می‌دهد که میزان توافق میان دو کارشناس انسانی، تنها بین </w:t>
      </w:r>
      <w:r>
        <w:rPr>
          <w:rtl/>
        </w:rPr>
        <w:t>۹۲</w:t>
      </w:r>
      <w:r>
        <w:rPr>
          <w:rtl/>
          <w:lang w:bidi="ar-SA"/>
        </w:rPr>
        <w:t xml:space="preserve"> تا </w:t>
      </w:r>
      <w:r>
        <w:rPr>
          <w:rtl/>
        </w:rPr>
        <w:t>۹۶</w:t>
      </w:r>
      <w:r>
        <w:rPr>
          <w:rtl/>
          <w:lang w:bidi="ar-SA"/>
        </w:rPr>
        <w:t xml:space="preserve"> درصد است. از این رو، دقت </w:t>
      </w:r>
      <w:r>
        <w:rPr>
          <w:rFonts w:hint="cs"/>
          <w:rtl/>
        </w:rPr>
        <w:t>2/83</w:t>
      </w:r>
      <w:r>
        <w:rPr>
          <w:rtl/>
          <w:lang w:bidi="ar-SA"/>
        </w:rPr>
        <w:t xml:space="preserve"> درصدی مدل در طبقه‌بندی بالینی، باید در برابر این سقف</w:t>
      </w:r>
      <w:r>
        <w:rPr>
          <w:rFonts w:hint="cs"/>
          <w:rtl/>
          <w:lang w:bidi="ar-SA"/>
        </w:rPr>
        <w:t xml:space="preserve"> </w:t>
      </w:r>
      <w:r>
        <w:rPr>
          <w:rtl/>
          <w:lang w:bidi="ar-SA"/>
        </w:rPr>
        <w:t>واقع‌بینانه</w:t>
      </w:r>
      <w:r>
        <w:rPr>
          <w:rFonts w:hint="cs"/>
          <w:rtl/>
        </w:rPr>
        <w:t xml:space="preserve"> </w:t>
      </w:r>
      <w:r>
        <w:rPr>
          <w:rtl/>
          <w:lang w:bidi="ar-SA"/>
        </w:rPr>
        <w:t>سنجیده شود، نه در برابر یک مرجع بدون خطا</w:t>
      </w:r>
      <w:r>
        <w:rPr>
          <w:rFonts w:hint="cs"/>
          <w:rtl/>
        </w:rPr>
        <w:t>.</w:t>
      </w:r>
    </w:p>
    <w:p w14:paraId="6D927BA1" w14:textId="18F6E9B1" w:rsidR="000B1BE2" w:rsidRPr="00E77957" w:rsidRDefault="000B1BE2" w:rsidP="000B1BE2">
      <w:pPr>
        <w:pStyle w:val="Paragraph"/>
        <w:rPr>
          <w:rtl/>
        </w:rPr>
      </w:pPr>
      <w:r>
        <w:rPr>
          <w:rtl/>
          <w:lang w:bidi="ar-SA"/>
        </w:rPr>
        <w:t>جهت ارزیابی قابلیت تکرارپذیری، نتایج حاصل بدون هیچ‌گونه تغییر در کد، بر روی دو سامانه کاملاً مستقل</w:t>
      </w:r>
      <w:r>
        <w:rPr>
          <w:rFonts w:hint="cs"/>
          <w:rtl/>
          <w:lang w:bidi="ar-SA"/>
        </w:rPr>
        <w:t xml:space="preserve"> دیگر</w:t>
      </w:r>
      <w:r>
        <w:t xml:space="preserve"> </w:t>
      </w:r>
      <w:r>
        <w:rPr>
          <w:rFonts w:hint="cs"/>
          <w:rtl/>
        </w:rPr>
        <w:t>(</w:t>
      </w:r>
      <w:r>
        <w:rPr>
          <w:rtl/>
          <w:lang w:bidi="ar-SA"/>
        </w:rPr>
        <w:t>مبتنی بر</w:t>
      </w:r>
      <w:r>
        <w:t xml:space="preserve"> Windows </w:t>
      </w:r>
      <w:r>
        <w:rPr>
          <w:rtl/>
          <w:lang w:bidi="ar-SA"/>
        </w:rPr>
        <w:t>و</w:t>
      </w:r>
      <w:r>
        <w:rPr>
          <w:rFonts w:hint="cs"/>
          <w:rtl/>
          <w:lang w:bidi="ar-SA"/>
        </w:rPr>
        <w:t xml:space="preserve"> </w:t>
      </w:r>
      <w:r>
        <w:t>Linux</w:t>
      </w:r>
      <w:r>
        <w:rPr>
          <w:rFonts w:hint="cs"/>
          <w:rtl/>
        </w:rPr>
        <w:t>)</w:t>
      </w:r>
      <w:r>
        <w:t xml:space="preserve"> </w:t>
      </w:r>
      <w:r>
        <w:rPr>
          <w:rtl/>
          <w:lang w:bidi="ar-SA"/>
        </w:rPr>
        <w:t>اجرا شدند. خروجی‌ها در هر دو پلتفرم تا دو رقم اعشار دقیقاً یکسان بودند؛ این امر</w:t>
      </w:r>
      <w:r>
        <w:rPr>
          <w:rFonts w:hint="cs"/>
          <w:rtl/>
          <w:lang w:bidi="ar-SA"/>
        </w:rPr>
        <w:t xml:space="preserve"> نشان‌دهنده</w:t>
      </w:r>
      <w:r>
        <w:rPr>
          <w:rtl/>
          <w:lang w:bidi="ar-SA"/>
        </w:rPr>
        <w:t xml:space="preserve"> ماهیت قطعی</w:t>
      </w:r>
      <w:r>
        <w:t xml:space="preserve"> </w:t>
      </w:r>
      <w:r>
        <w:rPr>
          <w:rtl/>
          <w:lang w:bidi="ar-SA"/>
        </w:rPr>
        <w:t>فرآیند و عدم وجود هرگونه مؤلفه یا گام تصادفی در اجرای الگوریتم است</w:t>
      </w:r>
      <w:r>
        <w:rPr>
          <w:rFonts w:hint="cs"/>
          <w:rtl/>
          <w:lang w:bidi="ar-SA"/>
        </w:rPr>
        <w:t>.</w:t>
      </w:r>
    </w:p>
    <w:p w14:paraId="5639A54D" w14:textId="21857396" w:rsidR="00BC3615" w:rsidRDefault="00000000">
      <w:pPr>
        <w:pStyle w:val="FigurePosition"/>
        <w:rPr>
          <w:rtl/>
        </w:rPr>
      </w:pPr>
      <w:r>
        <w:rPr>
          <w:noProof/>
        </w:rPr>
        <w:lastRenderedPageBreak/>
        <w:drawing>
          <wp:inline distT="0" distB="0" distL="0" distR="0" wp14:anchorId="0159644E" wp14:editId="3F4F7001">
            <wp:extent cx="2908300" cy="3765344"/>
            <wp:effectExtent l="0" t="0" r="6350" b="698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pic:nvPicPr>
                  <pic:blipFill rotWithShape="1">
                    <a:blip r:embed="rId9"/>
                    <a:srcRect l="13451" r="13344"/>
                    <a:stretch>
                      <a:fillRect/>
                    </a:stretch>
                  </pic:blipFill>
                  <pic:spPr bwMode="auto">
                    <a:xfrm>
                      <a:off x="0" y="0"/>
                      <a:ext cx="2929348" cy="3792594"/>
                    </a:xfrm>
                    <a:prstGeom prst="rect">
                      <a:avLst/>
                    </a:prstGeom>
                    <a:ln>
                      <a:noFill/>
                    </a:ln>
                    <a:extLst>
                      <a:ext uri="{53640926-AAD7-44D8-BBD7-CCE9431645EC}">
                        <a14:shadowObscured xmlns:a14="http://schemas.microsoft.com/office/drawing/2010/main"/>
                      </a:ext>
                    </a:extLst>
                  </pic:spPr>
                </pic:pic>
              </a:graphicData>
            </a:graphic>
          </wp:inline>
        </w:drawing>
      </w:r>
    </w:p>
    <w:p w14:paraId="6F07B665" w14:textId="46336D27" w:rsidR="002B57D8" w:rsidRPr="002B57D8" w:rsidRDefault="002B57D8" w:rsidP="002B57D8">
      <w:pPr>
        <w:pStyle w:val="Paragraph"/>
        <w:jc w:val="center"/>
        <w:rPr>
          <w:sz w:val="18"/>
          <w:szCs w:val="18"/>
          <w:lang w:bidi="ar-SA"/>
        </w:rPr>
      </w:pPr>
      <w:r>
        <w:rPr>
          <w:rFonts w:hint="cs"/>
          <w:sz w:val="18"/>
          <w:szCs w:val="18"/>
          <w:rtl/>
        </w:rPr>
        <w:t>شکل ۲: نمونه‌ای از خروجی فرآیند روی یک عکس حقیقی: دایره‌های قرمز، دیسک‌های تشخیص‌داده‌شده و خطوط سبز، مرز برآوردشده‌ی هاله‌ی عدم‌رشد را را نشان می‌دهند؛ دو دیسک بدون خط سبز، هاله‌ای نداشته‌اند</w:t>
      </w:r>
    </w:p>
    <w:p w14:paraId="72E991E6" w14:textId="77777777" w:rsidR="00BC3615" w:rsidRDefault="00000000">
      <w:pPr>
        <w:pStyle w:val="Heading1"/>
      </w:pPr>
      <w:r>
        <w:rPr>
          <w:rFonts w:hint="cs"/>
          <w:rtl/>
        </w:rPr>
        <w:t>بحث</w:t>
      </w:r>
    </w:p>
    <w:p w14:paraId="4BDB1DC5" w14:textId="7D865826" w:rsidR="000B1BE2" w:rsidRPr="000B1BE2" w:rsidRDefault="00000000" w:rsidP="000B1BE2">
      <w:pPr>
        <w:pStyle w:val="Paragraph"/>
        <w:rPr>
          <w:rtl/>
        </w:rPr>
      </w:pPr>
      <w:r>
        <w:rPr>
          <w:rFonts w:hint="cs"/>
          <w:rtl/>
        </w:rPr>
        <w:t xml:space="preserve">نتایج نشان می‌دهند که تشخیص ظرف و دیسک به دقت بسیار بالایی رسیده است و بخش باقی‌مانده‌ خطا عمدتاً از اندازه‌گیری قطر هاله سرچشمه می‌گیرد. مرز هاله در تصاویری که نور یکنواخت‌تری دارند یا هاله‌ی آن‌ها واضح‌تر از زمینه جدا می‌شود، دقیق‌تر برآورد می‌شود؛ در مقابل، هاله‌های کم‌رنگ یا نزدیک به هاله‌ی دیسک همسایه، بیشترین خطا را به‌همراه دارند.</w:t>
      </w:r>
    </w:p>
    <w:p w14:paraId="711E5FF7" w14:textId="536FEFA2" w:rsidR="008D741F" w:rsidRDefault="008D741F" w:rsidP="008D741F">
      <w:pPr>
        <w:pStyle w:val="Paragraph"/>
        <w:rPr>
          <w:rtl/>
          <w:lang w:bidi="ar-SA"/>
        </w:rPr>
      </w:pPr>
      <w:r>
        <w:rPr>
          <w:rtl/>
          <w:lang w:bidi="ar-SA"/>
        </w:rPr>
        <w:t>تحلیل نمودار بلاند</w:t>
      </w:r>
      <w:r>
        <w:rPr>
          <w:rFonts w:ascii="Arial" w:hAnsi="Arial" w:cs="Arial" w:hint="cs"/>
          <w:rtl/>
          <w:lang w:bidi="ar-SA"/>
        </w:rPr>
        <w:t>–</w:t>
      </w:r>
      <w:r>
        <w:rPr>
          <w:rFonts w:hint="cs"/>
          <w:rtl/>
          <w:lang w:bidi="ar-SA"/>
        </w:rPr>
        <w:t>آلتمن</w:t>
      </w:r>
      <w:r>
        <w:rPr>
          <w:rtl/>
          <w:lang w:bidi="ar-SA"/>
        </w:rPr>
        <w:t xml:space="preserve"> (</w:t>
      </w:r>
      <w:r>
        <w:rPr>
          <w:rFonts w:hint="cs"/>
          <w:rtl/>
          <w:lang w:bidi="ar-SA"/>
        </w:rPr>
        <w:t>شکل</w:t>
      </w:r>
      <w:r>
        <w:rPr>
          <w:rFonts w:hint="cs"/>
          <w:rtl/>
        </w:rPr>
        <w:t>3</w:t>
      </w:r>
      <w:r>
        <w:rPr>
          <w:rtl/>
        </w:rPr>
        <w:t>)</w:t>
      </w:r>
      <w:r>
        <w:rPr>
          <w:rtl/>
          <w:lang w:bidi="ar-SA"/>
        </w:rPr>
        <w:t>، نشان‌دهنده میانگین سوگیری</w:t>
      </w:r>
      <w:r>
        <w:t xml:space="preserve"> </w:t>
      </w:r>
      <w:r>
        <w:rPr>
          <w:rtl/>
          <w:lang w:bidi="ar-SA"/>
        </w:rPr>
        <w:t xml:space="preserve">معادل </w:t>
      </w:r>
      <w:r>
        <w:rPr>
          <w:rFonts w:hint="cs"/>
          <w:rtl/>
        </w:rPr>
        <w:t>61/0</w:t>
      </w:r>
      <w:r>
        <w:rPr>
          <w:rFonts w:ascii="Cambria Math" w:hAnsi="Cambria Math" w:cs="Cambria Math" w:hint="cs"/>
          <w:rtl/>
        </w:rPr>
        <w:t>−</w:t>
      </w:r>
      <w:r>
        <w:rPr>
          <w:rtl/>
        </w:rPr>
        <w:t xml:space="preserve"> </w:t>
      </w:r>
      <w:r>
        <w:rPr>
          <w:rtl/>
          <w:lang w:bidi="ar-SA"/>
        </w:rPr>
        <w:t>میلی‌متر است که نشان می‌دهد سیستم</w:t>
      </w:r>
      <w:r>
        <w:rPr>
          <w:rFonts w:hint="cs"/>
          <w:rtl/>
          <w:lang w:bidi="ar-SA"/>
        </w:rPr>
        <w:t>،</w:t>
      </w:r>
      <w:r>
        <w:rPr>
          <w:rtl/>
          <w:lang w:bidi="ar-SA"/>
        </w:rPr>
        <w:t xml:space="preserve"> هاله عدم رشد را به‌طور جزئی کوچک‌تر از ارزیابی کارشناس برآورد می‌کند؛ این مقدار سوگیری به صفر بسیار نزدیک بوده و فاقد خطای سیستماتیک معنادار در سطح بالینی است. با این حال، ارزیابی پراکندگی داده‌ها نشان می‌دهد که محدوده توافق </w:t>
      </w:r>
      <w:r>
        <w:rPr>
          <w:rtl/>
        </w:rPr>
        <w:t>۹۵</w:t>
      </w:r>
      <w:r>
        <w:rPr>
          <w:rtl/>
          <w:lang w:bidi="ar-SA"/>
        </w:rPr>
        <w:t xml:space="preserve"> درصد</w:t>
      </w:r>
      <w:r>
        <w:rPr>
          <w:rFonts w:hint="cs"/>
          <w:rtl/>
          <w:lang w:bidi="ar-SA"/>
        </w:rPr>
        <w:t>ی،</w:t>
      </w:r>
      <w:r>
        <w:t xml:space="preserve"> </w:t>
      </w:r>
      <w:r>
        <w:rPr>
          <w:rtl/>
          <w:lang w:bidi="ar-SA"/>
        </w:rPr>
        <w:t xml:space="preserve">بازه گسترده‌ای از </w:t>
      </w:r>
      <w:r>
        <w:rPr>
          <w:rFonts w:hint="cs"/>
          <w:rtl/>
        </w:rPr>
        <w:t>33/12</w:t>
      </w:r>
      <w:r>
        <w:rPr>
          <w:rFonts w:ascii="Cambria Math" w:hAnsi="Cambria Math" w:cs="Cambria Math" w:hint="cs"/>
          <w:rtl/>
        </w:rPr>
        <w:t>−</w:t>
      </w:r>
      <w:r>
        <w:rPr>
          <w:rtl/>
        </w:rPr>
        <w:t xml:space="preserve"> </w:t>
      </w:r>
      <w:r>
        <w:rPr>
          <w:rtl/>
          <w:lang w:bidi="ar-SA"/>
        </w:rPr>
        <w:t xml:space="preserve">تا </w:t>
      </w:r>
      <w:r>
        <w:rPr>
          <w:rtl/>
        </w:rPr>
        <w:t xml:space="preserve">۱۱/۱۱+ </w:t>
      </w:r>
      <w:r>
        <w:rPr>
          <w:rtl/>
          <w:lang w:bidi="ar-SA"/>
        </w:rPr>
        <w:t>میلی‌متر</w:t>
      </w:r>
      <w:r>
        <w:t xml:space="preserve"> </w:t>
      </w:r>
      <w:r>
        <w:rPr>
          <w:rFonts w:hint="cs"/>
          <w:rtl/>
        </w:rPr>
        <w:t xml:space="preserve">برای 60 دیسک </w:t>
      </w:r>
      <w:r>
        <w:rPr>
          <w:rtl/>
          <w:lang w:bidi="ar-SA"/>
        </w:rPr>
        <w:t>پوشش می‌دهد. همان‌طور که در نمودار مشخص است، علت اصلی وسعت این بازه، حضور چند داده پرت</w:t>
      </w:r>
      <w:r>
        <w:t xml:space="preserve"> </w:t>
      </w:r>
      <w:r>
        <w:rPr>
          <w:rtl/>
          <w:lang w:bidi="ar-SA"/>
        </w:rPr>
        <w:t>در دامنه خطاهای منفی بزرگ است. بررسی کیفی نشان می‌دهد این خطاها عمدتاً مربوط به مواردی است که هاله‌های مجاور هم‌پوشانی داشته و مرز مشترک آن‌ها دچار ابهام شده است</w:t>
      </w:r>
      <w:r>
        <w:rPr>
          <w:rFonts w:hint="cs"/>
          <w:rtl/>
          <w:lang w:bidi="ar-SA"/>
        </w:rPr>
        <w:t xml:space="preserve">. </w:t>
      </w:r>
      <w:r>
        <w:rPr>
          <w:rtl/>
          <w:lang w:bidi="ar-SA"/>
        </w:rPr>
        <w:t>بنابراین، خطای سیستم توزیع یکنواختی در سراسر دامنه اندازه‌گیری ندارد، بلکه این عدم‌قطعیت صرفاً در شرایط مورفولوژیکی پیچیده و تداخل هاله‌های همسایه رخ داده است</w:t>
      </w:r>
      <w:r>
        <w:rPr>
          <w:rFonts w:hint="cs"/>
          <w:rtl/>
          <w:lang w:bidi="ar-SA"/>
        </w:rPr>
        <w:t>.</w:t>
      </w:r>
    </w:p>
    <w:p w14:paraId="64131E8C" w14:textId="77777777" w:rsidR="000B1BE2" w:rsidRDefault="000B1BE2" w:rsidP="008D741F">
      <w:pPr>
        <w:pStyle w:val="Paragraph"/>
        <w:rPr>
          <w:rtl/>
          <w:lang w:bidi="ar-SA"/>
        </w:rPr>
      </w:pPr>
    </w:p>
    <w:p w14:paraId="65280163" w14:textId="77777777" w:rsidR="000B1BE2" w:rsidRDefault="000B1BE2" w:rsidP="000B1BE2">
      <w:pPr>
        <w:pStyle w:val="Paragraph"/>
        <w:keepNext/>
        <w:jc w:val="center"/>
      </w:pPr>
      <w:r>
        <w:rPr>
          <w:noProof/>
        </w:rPr>
        <w:drawing>
          <wp:inline distT="0" distB="0" distL="0" distR="0" wp14:anchorId="70F90E5C" wp14:editId="222A024D">
            <wp:extent cx="3192504" cy="2451100"/>
            <wp:effectExtent l="0" t="0" r="8255" b="635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pic:nvPicPr>
                  <pic:blipFill>
                    <a:blip r:embed="rId10"/>
                    <a:stretch>
                      <a:fillRect/>
                    </a:stretch>
                  </pic:blipFill>
                  <pic:spPr>
                    <a:xfrm>
                      <a:off x="0" y="0"/>
                      <a:ext cx="3241329" cy="2488587"/>
                    </a:xfrm>
                    <a:prstGeom prst="rect">
                      <a:avLst/>
                    </a:prstGeom>
                  </pic:spPr>
                </pic:pic>
              </a:graphicData>
            </a:graphic>
          </wp:inline>
        </w:drawing>
      </w:r>
    </w:p>
    <w:p w14:paraId="2EFA7A1F" w14:textId="5978D5CC" w:rsidR="000B1BE2" w:rsidRDefault="000B1BE2" w:rsidP="000B1BE2">
      <w:pPr>
        <w:jc w:val="center"/>
        <w:rPr>
          <w:sz w:val="18"/>
          <w:szCs w:val="18"/>
          <w:rtl/>
        </w:rPr>
      </w:pPr>
      <w:r>
        <w:rPr>
          <w:rFonts w:hint="cs"/>
          <w:sz w:val="18"/>
          <w:szCs w:val="18"/>
          <w:rtl/>
        </w:rPr>
        <w:t xml:space="preserve">شکل ۳: </w:t>
      </w:r>
      <w:r>
        <w:rPr>
          <w:sz w:val="18"/>
          <w:szCs w:val="18"/>
          <w:rtl/>
        </w:rPr>
        <w:t>نمودار بلاند</w:t>
      </w:r>
      <w:r>
        <w:rPr>
          <w:rFonts w:ascii="Arial" w:hAnsi="Arial" w:cs="Arial" w:hint="cs"/>
          <w:sz w:val="18"/>
          <w:szCs w:val="18"/>
          <w:rtl/>
        </w:rPr>
        <w:t>–</w:t>
      </w:r>
      <w:r>
        <w:rPr>
          <w:rFonts w:hint="cs"/>
          <w:sz w:val="18"/>
          <w:szCs w:val="18"/>
          <w:rtl/>
        </w:rPr>
        <w:t>آلتمن</w:t>
      </w:r>
      <w:r>
        <w:rPr>
          <w:sz w:val="18"/>
          <w:szCs w:val="18"/>
          <w:rtl/>
        </w:rPr>
        <w:t xml:space="preserve"> </w:t>
      </w:r>
      <w:r>
        <w:rPr>
          <w:rFonts w:hint="cs"/>
          <w:sz w:val="18"/>
          <w:szCs w:val="18"/>
          <w:rtl/>
        </w:rPr>
        <w:t>جهت</w:t>
      </w:r>
      <w:r>
        <w:rPr>
          <w:sz w:val="18"/>
          <w:szCs w:val="18"/>
          <w:rtl/>
        </w:rPr>
        <w:t xml:space="preserve"> </w:t>
      </w:r>
      <w:r>
        <w:rPr>
          <w:rFonts w:hint="cs"/>
          <w:sz w:val="18"/>
          <w:szCs w:val="18"/>
          <w:rtl/>
        </w:rPr>
        <w:t>ارزیابی</w:t>
      </w:r>
      <w:r>
        <w:rPr>
          <w:sz w:val="18"/>
          <w:szCs w:val="18"/>
          <w:rtl/>
        </w:rPr>
        <w:t xml:space="preserve"> </w:t>
      </w:r>
      <w:r>
        <w:rPr>
          <w:rFonts w:hint="cs"/>
          <w:sz w:val="18"/>
          <w:szCs w:val="18"/>
          <w:rtl/>
        </w:rPr>
        <w:t>توافق</w:t>
      </w:r>
      <w:r>
        <w:rPr>
          <w:sz w:val="18"/>
          <w:szCs w:val="18"/>
          <w:rtl/>
        </w:rPr>
        <w:t xml:space="preserve"> </w:t>
      </w:r>
      <w:r>
        <w:rPr>
          <w:rFonts w:hint="cs"/>
          <w:sz w:val="18"/>
          <w:szCs w:val="18"/>
          <w:rtl/>
        </w:rPr>
        <w:t>در</w:t>
      </w:r>
      <w:r>
        <w:rPr>
          <w:sz w:val="18"/>
          <w:szCs w:val="18"/>
          <w:rtl/>
        </w:rPr>
        <w:t xml:space="preserve"> </w:t>
      </w:r>
      <w:r>
        <w:rPr>
          <w:rFonts w:hint="cs"/>
          <w:sz w:val="18"/>
          <w:szCs w:val="18"/>
          <w:rtl/>
        </w:rPr>
        <w:t>اندازه‌گیری</w:t>
      </w:r>
      <w:r>
        <w:rPr>
          <w:sz w:val="18"/>
          <w:szCs w:val="18"/>
          <w:rtl/>
        </w:rPr>
        <w:t xml:space="preserve"> </w:t>
      </w:r>
      <w:r>
        <w:rPr>
          <w:rFonts w:hint="cs"/>
          <w:sz w:val="18"/>
          <w:szCs w:val="18"/>
          <w:rtl/>
        </w:rPr>
        <w:t>قطر</w:t>
      </w:r>
      <w:r>
        <w:rPr>
          <w:sz w:val="18"/>
          <w:szCs w:val="18"/>
          <w:rtl/>
        </w:rPr>
        <w:t xml:space="preserve"> </w:t>
      </w:r>
      <w:r>
        <w:rPr>
          <w:rFonts w:hint="cs"/>
          <w:sz w:val="18"/>
          <w:szCs w:val="18"/>
          <w:rtl/>
        </w:rPr>
        <w:t>هاله</w:t>
      </w:r>
      <w:r>
        <w:rPr>
          <w:sz w:val="18"/>
          <w:szCs w:val="18"/>
          <w:rtl/>
        </w:rPr>
        <w:t xml:space="preserve"> </w:t>
      </w:r>
      <w:r>
        <w:rPr>
          <w:rFonts w:hint="cs"/>
          <w:sz w:val="18"/>
          <w:szCs w:val="18"/>
          <w:rtl/>
        </w:rPr>
        <w:t>بین</w:t>
      </w:r>
      <w:r>
        <w:rPr>
          <w:sz w:val="18"/>
          <w:szCs w:val="18"/>
          <w:rtl/>
        </w:rPr>
        <w:t xml:space="preserve"> </w:t>
      </w:r>
      <w:r>
        <w:rPr>
          <w:rFonts w:hint="cs"/>
          <w:sz w:val="18"/>
          <w:szCs w:val="18"/>
          <w:rtl/>
        </w:rPr>
        <w:t>سامانه</w:t>
      </w:r>
      <w:r>
        <w:rPr>
          <w:sz w:val="18"/>
          <w:szCs w:val="18"/>
          <w:rtl/>
        </w:rPr>
        <w:t xml:space="preserve"> </w:t>
      </w:r>
      <w:r>
        <w:rPr>
          <w:rFonts w:hint="cs"/>
          <w:sz w:val="18"/>
          <w:szCs w:val="18"/>
          <w:rtl/>
        </w:rPr>
        <w:t>پیشنهادی</w:t>
      </w:r>
      <w:r>
        <w:rPr>
          <w:sz w:val="18"/>
          <w:szCs w:val="18"/>
          <w:rtl/>
        </w:rPr>
        <w:t xml:space="preserve"> </w:t>
      </w:r>
      <w:r>
        <w:rPr>
          <w:rFonts w:hint="cs"/>
          <w:sz w:val="18"/>
          <w:szCs w:val="18"/>
          <w:rtl/>
        </w:rPr>
        <w:t>و</w:t>
      </w:r>
      <w:r>
        <w:rPr>
          <w:sz w:val="18"/>
          <w:szCs w:val="18"/>
          <w:rtl/>
        </w:rPr>
        <w:t xml:space="preserve"> </w:t>
      </w:r>
      <w:r>
        <w:rPr>
          <w:rFonts w:hint="cs"/>
          <w:sz w:val="18"/>
          <w:szCs w:val="18"/>
          <w:rtl/>
        </w:rPr>
        <w:t>کارشناس</w:t>
      </w:r>
      <w:r>
        <w:rPr>
          <w:sz w:val="18"/>
          <w:szCs w:val="18"/>
          <w:rtl/>
        </w:rPr>
        <w:t xml:space="preserve"> </w:t>
      </w:r>
      <w:r>
        <w:rPr>
          <w:rFonts w:hint="cs"/>
          <w:sz w:val="18"/>
          <w:szCs w:val="18"/>
          <w:rtl/>
        </w:rPr>
        <w:t xml:space="preserve">مرجع. </w:t>
      </w:r>
      <w:r>
        <w:rPr>
          <w:sz w:val="18"/>
          <w:szCs w:val="18"/>
        </w:rPr>
        <w:t xml:space="preserve"> </w:t>
      </w:r>
      <w:r>
        <w:rPr>
          <w:b/>
          <w:bCs/>
          <w:sz w:val="18"/>
          <w:szCs w:val="18"/>
        </w:rPr>
        <w:t>(</w:t>
      </w:r>
      <m:oMath>
        <m:r>
          <w:rPr>
            <w:rFonts w:ascii="Cambria Math" w:hAnsi="Cambria Math"/>
            <w:sz w:val="18"/>
            <w:szCs w:val="18"/>
          </w:rPr>
          <m:t>n=60</m:t>
        </m:r>
      </m:oMath>
      <w:r>
        <w:rPr>
          <w:b/>
          <w:bCs/>
          <w:sz w:val="18"/>
          <w:szCs w:val="18"/>
        </w:rPr>
        <w:t>)</w:t>
      </w:r>
      <w:r>
        <w:rPr>
          <w:sz w:val="18"/>
          <w:szCs w:val="18"/>
          <w:rtl/>
        </w:rPr>
        <w:t>خط ممتد قرمز نشان‌دهنده میانگین سوگیری</w:t>
      </w:r>
      <w:r>
        <w:rPr>
          <w:sz w:val="18"/>
          <w:szCs w:val="18"/>
        </w:rPr>
        <w:t xml:space="preserve"> (</w:t>
      </w:r>
      <m:oMath>
        <m:r>
          <m:rPr>
            <m:nor/>
          </m:rPr>
          <w:rPr>
            <w:sz w:val="18"/>
            <w:szCs w:val="18"/>
          </w:rPr>
          <m:t>Bias</m:t>
        </m:r>
        <m:r>
          <w:rPr>
            <w:rFonts w:ascii="Cambria Math" w:hAnsi="Cambria Math"/>
            <w:sz w:val="18"/>
            <w:szCs w:val="18"/>
          </w:rPr>
          <m:t>=-0.61</m:t>
        </m:r>
        <m:r>
          <m:rPr>
            <m:nor/>
          </m:rPr>
          <w:rPr>
            <w:sz w:val="18"/>
            <w:szCs w:val="18"/>
          </w:rPr>
          <m:t> mm</m:t>
        </m:r>
      </m:oMath>
      <w:r>
        <w:rPr>
          <w:sz w:val="18"/>
          <w:szCs w:val="18"/>
        </w:rPr>
        <w:t xml:space="preserve">) </w:t>
      </w:r>
      <w:r>
        <w:rPr>
          <w:rFonts w:hint="cs"/>
          <w:sz w:val="18"/>
          <w:szCs w:val="18"/>
          <w:rtl/>
        </w:rPr>
        <w:t xml:space="preserve"> </w:t>
      </w:r>
      <w:r>
        <w:rPr>
          <w:sz w:val="18"/>
          <w:szCs w:val="18"/>
          <w:rtl/>
        </w:rPr>
        <w:t xml:space="preserve">و خطوط‌چین خاکستری بیانگر محدوده توافق </w:t>
      </w:r>
      <w:r>
        <w:rPr>
          <w:sz w:val="18"/>
          <w:szCs w:val="18"/>
          <w:rtl/>
          <w:lang w:bidi="fa-IR"/>
        </w:rPr>
        <w:t>۹۵</w:t>
      </w:r>
      <w:r>
        <w:rPr>
          <w:sz w:val="18"/>
          <w:szCs w:val="18"/>
          <w:rtl/>
        </w:rPr>
        <w:t xml:space="preserve"> درصدی</w:t>
      </w:r>
      <w:r>
        <w:rPr>
          <w:sz w:val="18"/>
          <w:szCs w:val="18"/>
        </w:rPr>
        <w:t xml:space="preserve"> (</w:t>
      </w:r>
      <m:oMath>
        <m:r>
          <w:rPr>
            <w:rFonts w:ascii="Cambria Math" w:hAnsi="Cambria Math"/>
            <w:sz w:val="18"/>
            <w:szCs w:val="18"/>
          </w:rPr>
          <m:t>±1.96</m:t>
        </m:r>
        <m:r>
          <m:rPr>
            <m:nor/>
          </m:rPr>
          <w:rPr>
            <w:sz w:val="18"/>
            <w:szCs w:val="18"/>
          </w:rPr>
          <m:t> SD</m:t>
        </m:r>
        <m:r>
          <w:rPr>
            <w:rFonts w:ascii="Cambria Math" w:hAnsi="Cambria Math"/>
            <w:sz w:val="18"/>
            <w:szCs w:val="18"/>
          </w:rPr>
          <m:t>:</m:t>
        </m:r>
        <m:d>
          <m:dPr>
            <m:begChr m:val="["/>
            <m:sepChr m:val=","/>
            <m:endChr m:val="]"/>
            <m:ctrlPr>
              <w:rPr>
                <w:rFonts w:ascii="Cambria Math" w:hAnsi="Cambria Math"/>
                <w:sz w:val="18"/>
                <w:szCs w:val="18"/>
              </w:rPr>
            </m:ctrlPr>
          </m:dPr>
          <m:e>
            <m:r>
              <w:rPr>
                <w:rFonts w:ascii="Cambria Math" w:hAnsi="Cambria Math"/>
                <w:sz w:val="18"/>
                <w:szCs w:val="18"/>
              </w:rPr>
              <m:t>-</m:t>
            </m:r>
          </m:e>
          <m:e>
            <m:r>
              <w:rPr>
                <w:rFonts w:ascii="Cambria Math" w:hAnsi="Cambria Math"/>
                <w:sz w:val="18"/>
                <w:szCs w:val="18"/>
              </w:rPr>
              <m:t>12.33+11.11</m:t>
            </m:r>
          </m:e>
        </m:d>
        <m:r>
          <m:rPr>
            <m:nor/>
          </m:rPr>
          <w:rPr>
            <w:sz w:val="18"/>
            <w:szCs w:val="18"/>
          </w:rPr>
          <m:t> mm</m:t>
        </m:r>
      </m:oMath>
      <w:r>
        <w:rPr>
          <w:sz w:val="18"/>
          <w:szCs w:val="18"/>
        </w:rPr>
        <w:t xml:space="preserve">) </w:t>
      </w:r>
      <w:r>
        <w:rPr>
          <w:sz w:val="18"/>
          <w:szCs w:val="18"/>
          <w:rtl/>
        </w:rPr>
        <w:t>برای دیسک‌هایی است که توسط هر دو روش اندازه‌گیری شده‌اند</w:t>
      </w:r>
    </w:p>
    <w:p w14:paraId="493E1CA8" w14:textId="77777777" w:rsidR="000B1BE2" w:rsidRDefault="000B1BE2" w:rsidP="000B1BE2">
      <w:pPr>
        <w:pStyle w:val="Paragraph"/>
        <w:rPr>
          <w:rtl/>
          <w:lang w:bidi="ar-SA"/>
        </w:rPr>
      </w:pPr>
    </w:p>
    <w:p w14:paraId="1E8D00CE" w14:textId="54690A0C" w:rsidR="000B1BE2" w:rsidRPr="000B1BE2" w:rsidRDefault="00FD6A4A" w:rsidP="00FD6A4A">
      <w:pPr>
        <w:pStyle w:val="Paragraph"/>
        <w:rPr>
          <w:rtl/>
        </w:rPr>
      </w:pPr>
      <w:r>
        <w:rPr>
          <w:rtl/>
        </w:rPr>
        <w:t>بر اساس دستورالعمل رسمی استاندارد</w:t>
      </w:r>
      <w:r>
        <w:t xml:space="preserve"> EUCAST</w:t>
      </w:r>
      <w:r>
        <w:rPr>
          <w:rtl/>
        </w:rPr>
        <w:t xml:space="preserve">، مرز هاله عدم رشد به‌عنوان ناحیه‌ای تعریف می‌شود که در آن رشد باکتریایی به‌طور کامل متوقف شده است. با این حال، طبق پروتکل استاندارد، قرائت قطر هاله عمدتاً از پشت </w:t>
      </w:r>
      <w:r>
        <w:rPr>
          <w:rFonts w:hint="cs"/>
          <w:rtl/>
        </w:rPr>
        <w:t>ظرف پتری</w:t>
      </w:r>
      <w:r>
        <w:rPr>
          <w:rtl/>
        </w:rPr>
        <w:t xml:space="preserve"> و با استفاده از نور عبوری</w:t>
      </w:r>
      <w:r>
        <w:t xml:space="preserve"> </w:t>
      </w:r>
      <w:r>
        <w:rPr>
          <w:rtl/>
        </w:rPr>
        <w:t>با زمینه تیره صورت می‌گیرد، در حالی که مجموعه‌داده این پژوهش با استفاده از تصویربرداری متداول در نور مستقیم و بازتابی</w:t>
      </w:r>
      <w:r>
        <w:t xml:space="preserve"> </w:t>
      </w:r>
      <w:r>
        <w:rPr>
          <w:rtl/>
        </w:rPr>
        <w:t>تهیه شده است. این تفاوت بنیادین در شرایط نوری و ایجاد سایه‌روشن‌های احتمالی در لبه‌های هاله، می‌تواند بخشی از عدم‌قطعیت‌ها و خطاهای اندازه‌گیری در تعیین دقیق مرز هاله را توجیه</w:t>
      </w:r>
      <w:r>
        <w:rPr>
          <w:rFonts w:hint="cs"/>
          <w:rtl/>
        </w:rPr>
        <w:t xml:space="preserve"> نماید.</w:t>
      </w:r>
    </w:p>
    <w:p w:rsidR="00000000">
      <w:pPr>
        <w:pStyle w:val="Paragraph"/>
        <w:rPr>
          <w:rtl/>
        </w:rPr>
      </w:pPr>
      <w:r>
        <w:rPr>
          <w:rFonts w:hint="cs"/>
          <w:rtl/>
        </w:rPr>
        <w:t xml:space="preserve">بر پایه‌ی استانداردهای بین‌المللیِ پذیرشِ روش‌های خودکارِ جایگزینِ خوانشِ دستی (مانندِ ISO 20776-2)[۱۰]، خطای بسیار عمده باید حداکثر ۱٫۵ درصد و خطای عمده حداکثر ۳ درصد باشد. مقادیرِ به‌دست‌آمده در این پژوهش (به‌ترتیب ۶٫۲ و ۹٫۲ درصد) هنوز از این سقف‌ها فاصله دارند. مقایسه با خطای تکرارپذیریِ انسانی که در بخشِ نتایج ارائه شد، زمینه‌ی تفسیرِ این عدد را روشن می‌کند، اما به‌تنهایی برایِ توجیهِ این فاصله کافی نیست؛ ریشه‌ی اصلیِ آن را می‌توان در دو عاملِ قابلِ‌رفع جست‌وجو کرد. نخست، همان‌گونه که پیش‌تر اشاره شد، تصویربرداریِ این پژوهش با نورِ مستقیم و بازتابی انجام شده، در حالی که پروتکلِ استانداردِ EUCAST نورِ عبوری از پشتِ ظرف را توصیه می‌کند. دوم، در پلیت‌هایی با تراکمِ بالایِ دیسک، هاله‌های مجاور با یکدیگر هم‌پوشانی پیدا می‌کنند و مرزِ مشترکشان مبهم می‌شود؛ شکلِ ۴ نمونه‌ای از چنین موردی را، با خطایِ بیش از ۵ میلی‌متر در چند دیسک، نشان می‌دهد. کاهشِ این فاصله در ادامه‌ی این پژوهش به دو مسیر نیاز دارد: پیاده‌سازیِ یک پروتکلِ تصویربرداریِ استاندارد (نورِ عبوری، مطابقِ توصیه‌ی EUCAST)، و به‌کارگیریِ روشِ مدل‌سازیِ ریاضیِ سیگموئید که در بخشِ کارهایِ آینده معرفی شده است.</w:t>
      </w:r>
    </w:p>
    <w:p w:rsidR="00000000">
      <w:pPr>
        <w:pStyle w:val="FigurePosition"/>
      </w:pPr>
      <w:r>
        <w:rPr>
          <w:noProof/>
        </w:rPr>
        <w:drawing>
          <wp:inline xmlns:wp="http://schemas.openxmlformats.org/drawingml/2006/wordprocessingDrawing" distT="0" distB="0" distL="0" distR="0">
            <wp:extent cx="2908300" cy="2756443"/>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pic:nvPicPr>
                  <pic:blipFill>
                    <a:blip xmlns:r="http://schemas.openxmlformats.org/officeDocument/2006/relationships" r:embed="rId13"/>
                    <a:stretch>
                      <a:fillRect/>
                    </a:stretch>
                  </pic:blipFill>
                  <pic:spPr>
                    <a:xfrm>
                      <a:off x="0" y="0"/>
                      <a:ext cx="2908300" cy="2756443"/>
                    </a:xfrm>
                    <a:prstGeom prst="rect">
                      <a:avLst/>
                    </a:prstGeom>
                  </pic:spPr>
                </pic:pic>
              </a:graphicData>
            </a:graphic>
          </wp:inline>
        </w:drawing>
      </w:r>
    </w:p>
    <w:p w:rsidR="00000000">
      <w:pPr>
        <w:pStyle w:val="Caption"/>
        <w:rPr>
          <w:rtl/>
        </w:rPr>
      </w:pPr>
      <w:r>
        <w:rPr>
          <w:rFonts w:hint="cs"/>
          <w:rtl/>
        </w:rPr>
        <w:t xml:space="preserve">شکل ۴: نمونه‌ای از یک موردِ شکست (خطای بیش از ۵ میلی‌متر): در این پلیت با تراکمِ بالایِ دیسک، چند هاله‌ی مجاور به‌شدت به هم نزدیک یا هم‌پوشان‌اند و مرزِ مشترکِ آن‌ها نامشخص است؛ همین وضعیت، عاملِ اصلیِ داده‌های دورافتاده در شکلِ ۳ است.</w:t>
      </w:r>
    </w:p>
    <w:p w14:paraId="26D15465" w14:textId="77777777" w:rsidR="00BC3615" w:rsidRDefault="00000000">
      <w:pPr>
        <w:pStyle w:val="Heading2"/>
      </w:pPr>
      <w:r>
        <w:rPr>
          <w:rFonts w:hint="cs"/>
          <w:rtl/>
        </w:rPr>
        <w:t>محدودیت‌ها</w:t>
      </w:r>
    </w:p>
    <w:p w14:paraId="479F7152" w14:textId="641B7BB1" w:rsidR="00BC3615" w:rsidRDefault="0030586B" w:rsidP="0030586B">
      <w:pPr>
        <w:pStyle w:val="Paragraph"/>
      </w:pPr>
      <w:r>
        <w:rPr>
          <w:rtl/>
          <w:lang w:bidi="ar-SA"/>
        </w:rPr>
        <w:t>پژوهشِ حاضر در قالبِ یک مطالعه‌ی پایلوت (Pilot Study) و اثباتِ مفهوم (Proof of Concept) انجام شده است. اگرچه مجموعه‌داده ارزیابی (</w:t>
      </w:r>
      <w:r>
        <w:rPr>
          <w:rtl/>
        </w:rPr>
        <w:t>۱۱</w:t>
      </w:r>
      <w:r>
        <w:rPr>
          <w:rtl/>
          <w:lang w:bidi="ar-SA"/>
        </w:rPr>
        <w:t xml:space="preserve"> تصویر و </w:t>
      </w:r>
      <w:r>
        <w:rPr>
          <w:rtl/>
        </w:rPr>
        <w:t>۹۳</w:t>
      </w:r>
      <w:r>
        <w:rPr>
          <w:rtl/>
          <w:lang w:bidi="ar-SA"/>
        </w:rPr>
        <w:t xml:space="preserve"> دیسک) امکان تحلیل اولیه کارایی سیستم را فراهم ساخت، اما تعمیم‌پذیری و اعتبارسنجی قطعی آن نیازمند آزمون بر روی داده‌های حجیم‌تر و متنوع‌تر است. همچنین، وابستگی به ارزیابی دستی به‌عنوان تنها مرجع اعتبارسنجی (با در نظر گرفتن تغییرپذیری تجربی تا </w:t>
      </w:r>
      <w:r>
        <w:rPr>
          <w:rFonts w:hint="cs"/>
          <w:rtl/>
          <w:lang w:bidi="ar-SA"/>
        </w:rPr>
        <w:t>2</w:t>
      </w:r>
      <w:r>
        <w:rPr>
          <w:rFonts w:cs="Times New Roman"/>
          <w:rtl/>
          <w:lang w:bidi="ar-SA"/>
        </w:rPr>
        <w:t>±</w:t>
      </w:r>
      <w:r>
        <w:rPr>
          <w:rFonts w:cs="Times New Roman" w:hint="cs"/>
          <w:rtl/>
          <w:lang w:bidi="ar-SA"/>
        </w:rPr>
        <w:t xml:space="preserve"> </w:t>
      </w:r>
      <w:r>
        <w:rPr>
          <w:rFonts w:hint="cs"/>
          <w:rtl/>
          <w:lang w:bidi="ar-SA"/>
        </w:rPr>
        <w:t xml:space="preserve">میلی‌متر </w:t>
      </w:r>
      <w:r>
        <w:rPr>
          <w:rtl/>
          <w:lang w:bidi="ar-SA"/>
        </w:rPr>
        <w:t>میان کارشناسان)، یکی دیگر از محدودیت‌های این ارزیابی محسوب می‌شود؛ امری که نشان می‌دهد برای سنجش دقت‌های بسیار بالا، استفاده از هیئت ارزیابی چندنفره یا سویه‌های کنترل کیفی مرجع ضروری است</w:t>
      </w:r>
      <w:r>
        <w:t>.</w:t>
      </w:r>
    </w:p>
    <w:p w:rsidR="00000000">
      <w:pPr>
        <w:pStyle w:val="Heading2"/>
      </w:pPr>
      <w:r>
        <w:rPr>
          <w:rFonts w:hint="cs"/>
          <w:rtl/>
        </w:rPr>
        <w:t xml:space="preserve">کارهای آینده</w:t>
      </w:r>
    </w:p>
    <w:p w:rsidR="00000000">
      <w:pPr>
        <w:pStyle w:val="Paragraph"/>
        <w:rPr>
          <w:rtl/>
        </w:rPr>
      </w:pPr>
      <w:r>
        <w:rPr>
          <w:rFonts w:hint="cs"/>
          <w:rtl/>
        </w:rPr>
        <w:t xml:space="preserve">بر اساسِ رابطه‌ی کلاسیک و فیزیکیِ نفوذِ دارو در محیطِ کشت، چگالیِ رشدِ باکتری برحسبِ فاصله از دیسک، به‌جایِ یک افتِ ناگهانی، گذاری نرم و پیوسته را دنبال می‌کند؛ ساختارِ ریاضیِ طبیعیِ چنین گذاری، یک تابعِ سیگموئید (لجستیک) است، نه یک لبه‌ی تیز. برازشِ چنین تابعی بر پروفایلِ شعاعیِ روشناییِ اطرافِ هر دیسک، یکی از مسیرهایِ کارهایِ آینده‌ی این پروژه است.</w:t>
      </w:r>
    </w:p>
    <w:p w:rsidR="00000000">
      <w:pPr>
        <w:pStyle w:val="Paragraph"/>
        <w:rPr>
          <w:rtl/>
        </w:rPr>
      </w:pPr>
      <w:r>
        <w:rPr>
          <w:rFonts w:hint="cs"/>
          <w:rtl/>
        </w:rPr>
        <w:t xml:space="preserve">بررسیِ مقدماتیِ این ایده، رویِ زیرمجموعه‌ای از دیسک‌هایِ همین مجموعه‌داده، نشان داد این رویکرد می‌تواند خطایِ اندازه‌گیری را کاهش دهد؛ اما در تعدادِ کمی از موارد نیز به برازشی نامعتبر (مانندِ قطرِ منفی یا کیفیتِ آماریِ پایین) می‌انجامد. پیش از افزودنِ این روش به زنجیره‌ی اصلیِ فرآیند، طراحیِ یک قاعده‌ی اعتبارسنجیِ برازش و ارزیابیِ آن رویِ کلِ مجموعه‌داده لازم است.</w:t>
      </w:r>
    </w:p>
    <w:p w14:paraId="7C8DE15F" w14:textId="77777777" w:rsidR="00BC3615" w:rsidRDefault="00000000">
      <w:pPr>
        <w:pStyle w:val="Heading1"/>
      </w:pPr>
      <w:r>
        <w:rPr>
          <w:rFonts w:hint="cs"/>
          <w:rtl/>
        </w:rPr>
        <w:t>نتیجه‌گیری</w:t>
      </w:r>
    </w:p>
    <w:p w14:paraId="6A0BF85D" w14:textId="2AF4DC2D" w:rsidR="00BC3615" w:rsidRDefault="00000000">
      <w:pPr>
        <w:pStyle w:val="Paragraph"/>
      </w:pPr>
      <w:r>
        <w:rPr>
          <w:rFonts w:hint="cs"/>
          <w:rtl/>
        </w:rPr>
        <w:t xml:space="preserve">در این مقاله، فرآیندی تماماً کلاسیک در بینایی ماشین معرفی شد که تنها از روی یک عکس ساده‌ی تلفن‌همراه، ظرف پتری، دیسک‌های آنتی‌بیوتیک، و مرز هاله‌ی عدم‌رشد را  تشخیص می‌دهد و نتیجه را طبق استاندارد بالینی </w:t>
      </w:r>
      <w:r>
        <w:rPr>
          <w:rFonts w:asciiTheme="majorBidi" w:hAnsiTheme="majorBidi" w:cstheme="majorBidi"/>
          <w:sz w:val="16"/>
          <w:szCs w:val="20"/>
          <w:rtl/>
        </w:rPr>
        <w:t>EUCAST</w:t>
      </w:r>
      <w:r>
        <w:rPr>
          <w:rFonts w:hint="cs"/>
          <w:rtl/>
        </w:rPr>
        <w:t xml:space="preserve"> طبقه‌بندی می‌کند.</w:t>
      </w:r>
    </w:p>
    <w:p w14:paraId="6843F58E" w14:textId="7687F194" w:rsidR="00BC3615" w:rsidRDefault="00000000">
      <w:pPr>
        <w:pStyle w:val="Paragraph"/>
      </w:pPr>
      <w:r>
        <w:rPr>
          <w:rFonts w:hint="cs"/>
          <w:rtl/>
        </w:rPr>
        <w:t>ارزیابی کمّی روی یک مجموعه‌داده‌ی مستقل و کارشناسی‌شده نشان داد تشخیص دیسک به دقت بسیار بالایی می‌رسد و خطای اندازه‌گیری قطر هاله، با در نظر گرفتن خطای ذاتی خوانش دستی کارشناس، در محدوده‌ی معقولی قرار دارد.</w:t>
      </w:r>
    </w:p>
    <w:p w:rsidR="00000000">
      <w:pPr>
        <w:pStyle w:val="Paragraph"/>
        <w:rPr>
          <w:rtl/>
        </w:rPr>
      </w:pPr>
      <w:r>
        <w:rPr>
          <w:rFonts w:hint="cs"/>
          <w:rtl/>
        </w:rPr>
        <w:t xml:space="preserve">گامِ بعدیِ این پروژه، بزرگ‌تر کردنِ مجموعه‌داده‌ی مرجع، پیاده‌سازیِ پروتکلِ تصویربرداریِ استانداردِ EUCAST، و ارزیابیِ سامانمندِ روشِ مدل‌سازیِ ریاضیِ سیگموئید (بخشِ کارهایِ آینده) رویِ کلِ مجموعه‌داده است، به‌طوری‌که بتوان سامانه را برایِ استفاده‌ی عملیاتی و تجاری آماده‌تر کرد. شایانِ ذکر است این پژوهش در قالبِ یک مطالعه‌ی پایلوت (Pilot Study) انجام شده و نتایجِ آن، پیش از استقرارِ بالینی، به اعتبارسنجیِ گسترده‌تر نیاز دارد.</w:t>
      </w:r>
    </w:p>
    <w:p w14:paraId="5C3DDA6A" w14:textId="77777777" w:rsidR="00BC3615" w:rsidRDefault="00000000">
      <w:pPr>
        <w:pStyle w:val="Heading"/>
      </w:pPr>
      <w:r>
        <w:rPr>
          <w:rFonts w:hint="cs"/>
          <w:rtl/>
        </w:rPr>
        <w:t>قدردانی</w:t>
      </w:r>
    </w:p>
    <w:p w14:paraId="4BF0F9A9" w14:textId="6F2466BA" w:rsidR="00BC3615" w:rsidRDefault="00000000">
      <w:pPr>
        <w:pStyle w:val="Paragraph"/>
      </w:pPr>
      <w:r>
        <w:rPr>
          <w:rFonts w:hint="cs"/>
          <w:rtl/>
        </w:rPr>
        <w:t xml:space="preserve">از آزمایشگاه همکار برای در اختیار گذاشتن تصاویر و خوانش کارشناسی مرجع، سپاسگزاریم.</w:t>
      </w:r>
    </w:p>
    <w:p w14:paraId="76A6AA79" w14:textId="77777777" w:rsidR="00BC3615" w:rsidRDefault="00000000">
      <w:pPr>
        <w:pStyle w:val="Heading"/>
      </w:pPr>
      <w:r>
        <w:rPr>
          <w:rFonts w:hint="cs"/>
          <w:rtl/>
        </w:rPr>
        <w:t>مراجع</w:t>
      </w:r>
    </w:p>
    <w:p w14:paraId="72E6DB3D" w14:textId="77777777" w:rsidR="00BC3615" w:rsidRPr="00243815" w:rsidRDefault="00000000" w:rsidP="00243815">
      <w:pPr>
        <w:pStyle w:val="References"/>
        <w:numPr>
          <w:ilvl w:val="0"/>
          <w:numId w:val="31"/>
        </w:numPr>
        <w:tabs>
          <w:tab w:val="num" w:pos="360"/>
        </w:tabs>
        <w:ind w:left="357" w:hanging="357"/>
        <w:rPr>
          <w:rFonts w:cs="Lotus"/>
        </w:rPr>
      </w:pPr>
      <w:r>
        <w:rPr>
          <w:rFonts w:cs="Lotus"/>
        </w:rPr>
        <w:t>A. Gavoille, B. Bardy, and A. Andremont, “Measurement of inhibition zone diameter in disk susceptibility tests by computerized image analysis,” Comput. Biol. Med., vol. 24, no. 3, pp. 179–188, 1994.</w:t>
      </w:r>
    </w:p>
    <w:p w14:paraId="1D75B9F5" w14:textId="77777777" w:rsidR="00BC3615" w:rsidRPr="00243815" w:rsidRDefault="00000000" w:rsidP="00243815">
      <w:pPr>
        <w:pStyle w:val="References"/>
        <w:numPr>
          <w:ilvl w:val="0"/>
          <w:numId w:val="31"/>
        </w:numPr>
        <w:tabs>
          <w:tab w:val="num" w:pos="360"/>
        </w:tabs>
        <w:ind w:left="357" w:hanging="357"/>
        <w:rPr>
          <w:rFonts w:cs="Lotus"/>
        </w:rPr>
      </w:pPr>
      <w:r>
        <w:rPr>
          <w:rFonts w:cs="Lotus"/>
        </w:rPr>
        <w:t>H. S. Bhargav et al., “Measurement of the zone of inhibition of an antibiotic,” in Proc. IEEE 6th Int. Conf. Advanced Computing (IACC), 2016, pp. 409–414.</w:t>
      </w:r>
    </w:p>
    <w:p w14:paraId="486BBD27" w14:textId="77777777" w:rsidR="00BC3615" w:rsidRPr="00243815" w:rsidRDefault="00000000" w:rsidP="00243815">
      <w:pPr>
        <w:pStyle w:val="References"/>
        <w:numPr>
          <w:ilvl w:val="0"/>
          <w:numId w:val="31"/>
        </w:numPr>
        <w:tabs>
          <w:tab w:val="num" w:pos="360"/>
        </w:tabs>
        <w:ind w:left="357" w:hanging="357"/>
        <w:rPr>
          <w:rFonts w:cs="Lotus"/>
        </w:rPr>
      </w:pPr>
      <w:r>
        <w:rPr>
          <w:rFonts w:cs="Lotus"/>
        </w:rPr>
        <w:t>C. A. Alonso et al., “AntibiogramJ: A tool for analysing images from disk diffusion tests,” Comput. Methods Programs Biomed., vol. 143, pp. 159–169, 2017.</w:t>
      </w:r>
    </w:p>
    <w:p w14:paraId="68445024" w14:textId="77777777" w:rsidR="00BC3615" w:rsidRPr="00243815" w:rsidRDefault="00000000" w:rsidP="00243815">
      <w:pPr>
        <w:pStyle w:val="References"/>
        <w:numPr>
          <w:ilvl w:val="0"/>
          <w:numId w:val="31"/>
        </w:numPr>
        <w:tabs>
          <w:tab w:val="num" w:pos="360"/>
        </w:tabs>
        <w:ind w:left="357" w:hanging="357"/>
        <w:rPr>
          <w:rFonts w:cs="Lotus"/>
        </w:rPr>
      </w:pPr>
      <w:r>
        <w:rPr>
          <w:rFonts w:cs="Lotus"/>
        </w:rPr>
        <w:t>B. K. Priya et al., “Automatic inhibition zone diameter measurement for disc diffusion test using image segmentation,” IETE J. Res., vol. 69, no. 8, pp. 5708–5725, 2023.</w:t>
      </w:r>
    </w:p>
    <w:p w14:paraId="1FC36027" w14:textId="77777777" w:rsidR="00BC3615" w:rsidRPr="00243815" w:rsidRDefault="00000000" w:rsidP="00243815">
      <w:pPr>
        <w:pStyle w:val="References"/>
        <w:numPr>
          <w:ilvl w:val="0"/>
          <w:numId w:val="31"/>
        </w:numPr>
        <w:tabs>
          <w:tab w:val="num" w:pos="360"/>
        </w:tabs>
        <w:ind w:left="357" w:hanging="357"/>
        <w:rPr>
          <w:rFonts w:cs="Lotus"/>
        </w:rPr>
      </w:pPr>
      <w:r>
        <w:rPr>
          <w:rFonts w:cs="Lotus"/>
        </w:rPr>
        <w:t>M. Pascucci et al., “AI-based mobile application to fight antibiotic resistance,” Nat. Commun., vol. 12, art. no. 1173, 2021.</w:t>
      </w:r>
    </w:p>
    <w:p w14:paraId="254C814D" w14:textId="77777777" w:rsidR="00BC3615" w:rsidRPr="00243815" w:rsidRDefault="00000000" w:rsidP="00243815">
      <w:pPr>
        <w:pStyle w:val="References"/>
        <w:numPr>
          <w:ilvl w:val="0"/>
          <w:numId w:val="31"/>
        </w:numPr>
        <w:tabs>
          <w:tab w:val="num" w:pos="360"/>
        </w:tabs>
        <w:ind w:left="357" w:hanging="357"/>
        <w:rPr>
          <w:rFonts w:cs="Lotus"/>
        </w:rPr>
      </w:pPr>
      <w:r>
        <w:rPr>
          <w:rFonts w:cs="Lotus"/>
        </w:rPr>
        <w:t>E. Gullu, S. Bora, and B. Beynek, “Exploiting image processing and AI techniques for the determination of antimicrobial susceptibility,” Appl. Sci., vol. 14, no. 9, art. no. 3950, 2024.</w:t>
      </w:r>
    </w:p>
    <w:p w14:paraId="0309253E" w14:textId="77777777" w:rsidR="00BC3615" w:rsidRPr="00243815" w:rsidRDefault="00000000" w:rsidP="00243815">
      <w:pPr>
        <w:pStyle w:val="References"/>
        <w:numPr>
          <w:ilvl w:val="0"/>
          <w:numId w:val="31"/>
        </w:numPr>
        <w:tabs>
          <w:tab w:val="num" w:pos="360"/>
        </w:tabs>
        <w:ind w:left="357" w:hanging="357"/>
        <w:rPr>
          <w:rFonts w:cs="Lotus"/>
        </w:rPr>
      </w:pPr>
      <w:r>
        <w:rPr>
          <w:rFonts w:cs="Lotus"/>
        </w:rPr>
        <w:t>European Committee on Antimicrobial Susceptibility Testing (EUCAST), Breakpoint Tables for Interpretation of MICs and Zone Diameters, version 16.0, 2026.</w:t>
      </w:r>
    </w:p>
    <w:p w14:paraId="10E66CD4" w14:textId="77777777" w:rsidR="00BC3615" w:rsidRPr="00243815" w:rsidRDefault="00000000" w:rsidP="00243815">
      <w:pPr>
        <w:pStyle w:val="References"/>
        <w:numPr>
          <w:ilvl w:val="0"/>
          <w:numId w:val="31"/>
        </w:numPr>
        <w:tabs>
          <w:tab w:val="num" w:pos="360"/>
        </w:tabs>
        <w:ind w:left="357" w:hanging="357"/>
        <w:rPr>
          <w:rFonts w:cs="Lotus"/>
        </w:rPr>
      </w:pPr>
      <w:r>
        <w:rPr>
          <w:rFonts w:cs="Lotus"/>
        </w:rPr>
        <w:t>N. Otsu, “A threshold selection method from gray-level histograms,” IEEE Trans. Syst., Man, Cybern., vol. 9, no. 1, pp. 62–66, 1979.</w:t>
      </w:r>
    </w:p>
    <w:p w14:paraId="72E9C86C" w14:textId="77777777" w:rsidR="00BC3615" w:rsidRPr="00243815" w:rsidRDefault="00000000" w:rsidP="00243815">
      <w:pPr>
        <w:pStyle w:val="References"/>
        <w:numPr>
          <w:ilvl w:val="0"/>
          <w:numId w:val="31"/>
        </w:numPr>
        <w:tabs>
          <w:tab w:val="num" w:pos="360"/>
        </w:tabs>
        <w:ind w:left="357" w:hanging="357"/>
        <w:rPr>
          <w:rFonts w:cs="Lotus"/>
        </w:rPr>
      </w:pPr>
      <w:r>
        <w:rPr>
          <w:rFonts w:cs="Lotus"/>
        </w:rPr>
        <w:t>J. M. Bland and D. G. Altman, “Statistical methods for assessing agreement between two methods of clinical measurement,” The Lancet, vol. 327, no. 8476, pp. 307–310, 1986.</w:t>
      </w:r>
    </w:p>
    <w:p w:rsidR="00000000">
      <w:pPr>
        <w:pStyle w:val="References"/>
        <w:numPr>
          <w:ilvl w:val="0"/>
          <w:numId w:val="31"/>
        </w:numPr>
        <w:tabs>
          <w:tab w:val="num" w:pos="360"/>
        </w:tabs>
        <w:ind w:left="357" w:hanging="357"/>
        <w:rPr>
          <w:rFonts w:cs="Lotus"/>
        </w:rPr>
      </w:pPr>
      <w:r>
        <w:rPr>
          <w:rFonts w:cs="Lotus"/>
        </w:rPr>
        <w:t>ISO 20776-2:2021, Clinical laboratory testing and in vitro diagnostic test systems — Susceptibility testing of infectious agents — Part 2: Evaluation of performance of antimicrobial susceptibility test devices, International Organization for Standardization, 2021.</w:t>
      </w:r>
    </w:p>
    <w:sectPr w:rsidR="00BC3615" w:rsidRPr="00243815" w:rsidSect="00143A72">
      <w:endnotePr>
        <w:numFmt w:val="lowerLetter"/>
      </w:endnotePr>
      <w:type w:val="continuous"/>
      <w:pgSz w:w="11906" w:h="16838" w:code="9"/>
      <w:pgMar w:top="1418" w:right="1134" w:bottom="1418" w:left="1134" w:header="851" w:footer="567" w:gutter="0"/>
      <w:cols w:num="2" w:space="340"/>
      <w:bidi/>
      <w:rtlGutter/>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4C901" w14:textId="77777777" w:rsidR="00D64F5C" w:rsidRDefault="00D64F5C">
      <w:r>
        <w:separator/>
      </w:r>
    </w:p>
    <w:p w14:paraId="7A1016E2" w14:textId="77777777" w:rsidR="00D64F5C" w:rsidRDefault="00D64F5C"/>
  </w:endnote>
  <w:endnote w:type="continuationSeparator" w:id="0">
    <w:p w14:paraId="0EF884D9" w14:textId="77777777" w:rsidR="00D64F5C" w:rsidRDefault="00D64F5C">
      <w:r>
        <w:continuationSeparator/>
      </w:r>
    </w:p>
    <w:p w14:paraId="6F0D2F3A" w14:textId="77777777" w:rsidR="00D64F5C" w:rsidRDefault="00D64F5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 Nazanin">
    <w:altName w:val="Arial"/>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raditional Arabic">
    <w:altName w:val="Arial"/>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Mitra">
    <w:panose1 w:val="02000500000000000000"/>
    <w:charset w:val="00"/>
    <w:family w:val="auto"/>
    <w:pitch w:val="variable"/>
    <w:sig w:usb0="800020A7" w:usb1="D000004A" w:usb2="00000008" w:usb3="00000000" w:csb0="00000051" w:csb1="00000000"/>
  </w:font>
  <w:font w:name="Cambria Math">
    <w:panose1 w:val="02040503050406030204"/>
    <w:charset w:val="00"/>
    <w:family w:val="roman"/>
    <w:pitch w:val="variable"/>
    <w:sig w:usb0="E00006FF" w:usb1="420024FF" w:usb2="02000000" w:usb3="00000000" w:csb0="0000019F" w:csb1="00000000"/>
  </w:font>
  <w:font w:name="Lotus">
    <w:altName w:val="Arial"/>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D5C90" w14:textId="77777777" w:rsidR="00D64F5C" w:rsidRDefault="00D64F5C">
      <w:r>
        <w:separator/>
      </w:r>
    </w:p>
    <w:p w14:paraId="6184E23E" w14:textId="77777777" w:rsidR="00D64F5C" w:rsidRDefault="00D64F5C"/>
  </w:footnote>
  <w:footnote w:type="continuationSeparator" w:id="0">
    <w:p w14:paraId="08004CB1" w14:textId="77777777" w:rsidR="00D64F5C" w:rsidRDefault="00D64F5C">
      <w:r>
        <w:continuationSeparator/>
      </w:r>
    </w:p>
    <w:p w14:paraId="0E8ACC44" w14:textId="77777777" w:rsidR="00D64F5C" w:rsidRDefault="00D64F5C"/>
  </w:footnote>
  <w:footnote w:id="1">
    <w:p w14:paraId="4D30FBCE" w14:textId="77777777" w:rsidR="00BC3615" w:rsidRDefault="00000000">
      <w:pPr>
        <w:pStyle w:val="FootnoteText"/>
      </w:pPr>
      <w:r>
        <w:rPr>
          <w:rStyle w:val="FootnoteReference"/>
        </w:rPr>
        <w:footnoteRef/>
      </w:r>
      <w:r>
        <w:t xml:space="preserve"> Pipeline</w:t>
      </w:r>
    </w:p>
  </w:footnote>
  <w:footnote w:id="2">
    <w:p w14:paraId="6B38FF0D" w14:textId="77777777" w:rsidR="00BC3615" w:rsidRDefault="00000000">
      <w:pPr>
        <w:pStyle w:val="FootnoteText"/>
      </w:pPr>
      <w:r>
        <w:rPr>
          <w:rStyle w:val="FootnoteReference"/>
        </w:rPr>
        <w:footnoteRef/>
      </w:r>
      <w:r>
        <w:t xml:space="preserve"> EUCAST</w:t>
      </w:r>
    </w:p>
  </w:footnote>
  <w:footnote w:id="3">
    <w:p w14:paraId="049D812C" w14:textId="77777777" w:rsidR="00BC3615" w:rsidRDefault="00000000">
      <w:pPr>
        <w:pStyle w:val="FootnoteText"/>
      </w:pPr>
      <w:r>
        <w:rPr>
          <w:rStyle w:val="FootnoteReference"/>
        </w:rPr>
        <w:footnoteRef/>
      </w:r>
      <w:r>
        <w:t xml:space="preserve"> Disk diffusion</w:t>
      </w:r>
    </w:p>
  </w:footnote>
  <w:footnote w:id="4">
    <w:p w14:paraId="29713ABF" w14:textId="77777777" w:rsidR="00BC3615" w:rsidRDefault="00000000">
      <w:pPr>
        <w:pStyle w:val="FootnoteText"/>
      </w:pPr>
      <w:r>
        <w:rPr>
          <w:rStyle w:val="FootnoteReference"/>
        </w:rPr>
        <w:footnoteRef/>
      </w:r>
      <w:r>
        <w:t xml:space="preserve"> Kirby–Bauer</w:t>
      </w:r>
    </w:p>
  </w:footnote>
  <w:footnote w:id="5">
    <w:p w14:paraId="77E768FB" w14:textId="77777777" w:rsidR="00BC3615" w:rsidRDefault="00000000">
      <w:pPr>
        <w:pStyle w:val="FootnoteText"/>
      </w:pPr>
      <w:r>
        <w:rPr>
          <w:rStyle w:val="FootnoteReference"/>
        </w:rPr>
        <w:footnoteRef/>
      </w:r>
      <w:r>
        <w:t xml:space="preserve"> Petri dish</w:t>
      </w:r>
    </w:p>
  </w:footnote>
  <w:footnote w:id="6">
    <w:p w14:paraId="03B35CD9" w14:textId="77777777" w:rsidR="00BC3615" w:rsidRDefault="00000000">
      <w:pPr>
        <w:pStyle w:val="FootnoteText"/>
      </w:pPr>
      <w:r>
        <w:rPr>
          <w:rStyle w:val="FootnoteReference"/>
        </w:rPr>
        <w:footnoteRef/>
      </w:r>
      <w:r>
        <w:t xml:space="preserve"> Deep learning</w:t>
      </w:r>
    </w:p>
  </w:footnote>
  <w:footnote w:id="7">
    <w:p w14:paraId="41F7C328" w14:textId="77777777" w:rsidR="00A9548D" w:rsidRDefault="00A9548D" w:rsidP="00A9548D">
      <w:pPr>
        <w:pStyle w:val="FootnoteText"/>
      </w:pPr>
      <w:r>
        <w:rPr>
          <w:rStyle w:val="FootnoteReference"/>
        </w:rPr>
        <w:footnoteRef/>
      </w:r>
      <w:r>
        <w:t xml:space="preserve"> Otsu's method</w:t>
      </w:r>
    </w:p>
  </w:footnote>
  <w:footnote w:id="8">
    <w:p w14:paraId="280DF6F1" w14:textId="77777777" w:rsidR="00BC3615" w:rsidRDefault="00000000">
      <w:pPr>
        <w:pStyle w:val="FootnoteText"/>
      </w:pPr>
      <w:r>
        <w:rPr>
          <w:rStyle w:val="FootnoteReference"/>
        </w:rPr>
        <w:footnoteRef/>
      </w:r>
      <w:r>
        <w:t xml:space="preserve"> Hough transform</w:t>
      </w:r>
    </w:p>
  </w:footnote>
  <w:footnote w:id="9">
    <w:p w14:paraId="3AC7414F" w14:textId="77777777" w:rsidR="00BC3615" w:rsidRDefault="00000000">
      <w:pPr>
        <w:pStyle w:val="FootnoteText"/>
      </w:pPr>
      <w:r>
        <w:rPr>
          <w:rStyle w:val="FootnoteReference"/>
        </w:rPr>
        <w:footnoteRef/>
      </w:r>
      <w:r>
        <w:t xml:space="preserve"> Agar</w:t>
      </w:r>
    </w:p>
  </w:footnote>
  <w:footnote w:id="10">
    <w:p w14:paraId="092151AA" w14:textId="77777777" w:rsidR="00BC3615" w:rsidRDefault="00000000">
      <w:pPr>
        <w:pStyle w:val="FootnoteText"/>
      </w:pPr>
      <w:r>
        <w:rPr>
          <w:rStyle w:val="FootnoteReference"/>
        </w:rPr>
        <w:footnoteRef/>
      </w:r>
      <w:r>
        <w:t xml:space="preserve"> Watershed algorithm</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1F40F3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F16C5C4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9C78230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B4022FC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A112DAB8"/>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5EA2D18"/>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7326E24"/>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EBE5CE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34031E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EB065A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04822C34"/>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2" w15:restartNumberingAfterBreak="0">
    <w:nsid w:val="094E2322"/>
    <w:multiLevelType w:val="multilevel"/>
    <w:tmpl w:val="3C04C07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3" w15:restartNumberingAfterBreak="0">
    <w:nsid w:val="0B4A3A18"/>
    <w:multiLevelType w:val="multilevel"/>
    <w:tmpl w:val="A83EDEFC"/>
    <w:lvl w:ilvl="0">
      <w:start w:val="1"/>
      <w:numFmt w:val="decimal"/>
      <w:pStyle w:val="Heading1"/>
      <w:isLgl/>
      <w:lvlText w:val="%1-"/>
      <w:lvlJc w:val="left"/>
      <w:pPr>
        <w:tabs>
          <w:tab w:val="num" w:pos="360"/>
        </w:tabs>
        <w:ind w:left="360" w:hanging="360"/>
      </w:pPr>
      <w:rPr>
        <w:rFonts w:ascii="Times New Roman" w:hAnsi="Times New Roman" w:cs="B Nazanin" w:hint="default"/>
        <w:b/>
        <w:bCs/>
        <w:i w:val="0"/>
        <w:iCs w:val="0"/>
        <w:sz w:val="24"/>
        <w:szCs w:val="24"/>
      </w:rPr>
    </w:lvl>
    <w:lvl w:ilvl="1">
      <w:start w:val="1"/>
      <w:numFmt w:val="decimal"/>
      <w:pStyle w:val="Heading2"/>
      <w:isLgl/>
      <w:lvlText w:val="%1-%2-"/>
      <w:lvlJc w:val="left"/>
      <w:pPr>
        <w:tabs>
          <w:tab w:val="num" w:pos="680"/>
        </w:tabs>
        <w:ind w:left="680" w:hanging="680"/>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4" w15:restartNumberingAfterBreak="0">
    <w:nsid w:val="0C3155DD"/>
    <w:multiLevelType w:val="hybridMultilevel"/>
    <w:tmpl w:val="9E525EB0"/>
    <w:lvl w:ilvl="0" w:tplc="CC78CB84">
      <w:start w:val="1"/>
      <w:numFmt w:val="decimal"/>
      <w:lvlText w:val="%1-"/>
      <w:lvlJc w:val="left"/>
      <w:pPr>
        <w:tabs>
          <w:tab w:val="num" w:pos="502"/>
        </w:tabs>
        <w:ind w:left="5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10E849BB"/>
    <w:multiLevelType w:val="multilevel"/>
    <w:tmpl w:val="B3A2DF08"/>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6" w15:restartNumberingAfterBreak="0">
    <w:nsid w:val="17861EDF"/>
    <w:multiLevelType w:val="multilevel"/>
    <w:tmpl w:val="12AE19D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7" w15:restartNumberingAfterBreak="0">
    <w:nsid w:val="21D119B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245A5AE1"/>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9" w15:restartNumberingAfterBreak="0">
    <w:nsid w:val="29320DFC"/>
    <w:multiLevelType w:val="multilevel"/>
    <w:tmpl w:val="BEA425A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20" w15:restartNumberingAfterBreak="0">
    <w:nsid w:val="2AB9310D"/>
    <w:multiLevelType w:val="multilevel"/>
    <w:tmpl w:val="3118CFE2"/>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pStyle w:val="Heading3"/>
      <w:isLgl/>
      <w:lvlText w:val="%1-%2-%3-"/>
      <w:lvlJc w:val="left"/>
      <w:pPr>
        <w:tabs>
          <w:tab w:val="num" w:pos="737"/>
        </w:tabs>
        <w:ind w:left="737" w:hanging="737"/>
      </w:pPr>
      <w:rPr>
        <w:rFonts w:ascii="Times New Roman" w:hAnsi="Times New Roman" w:cs="B Nazanin" w:hint="default"/>
        <w:b/>
        <w:bCs/>
        <w:i w:val="0"/>
        <w:iCs w:val="0"/>
        <w:sz w:val="22"/>
        <w:szCs w:val="26"/>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1" w15:restartNumberingAfterBreak="0">
    <w:nsid w:val="2FF05066"/>
    <w:multiLevelType w:val="multilevel"/>
    <w:tmpl w:val="F058EAC4"/>
    <w:lvl w:ilvl="0">
      <w:start w:val="1"/>
      <w:numFmt w:val="decimal"/>
      <w:lvlText w:val="%1."/>
      <w:lvlJc w:val="left"/>
      <w:pPr>
        <w:tabs>
          <w:tab w:val="num" w:pos="76"/>
        </w:tabs>
        <w:ind w:left="76" w:hanging="360"/>
      </w:pPr>
      <w:rPr>
        <w:rFonts w:hint="default"/>
      </w:rPr>
    </w:lvl>
    <w:lvl w:ilvl="1">
      <w:start w:val="1"/>
      <w:numFmt w:val="decimal"/>
      <w:lvlText w:val="%1-%2"/>
      <w:lvlJc w:val="right"/>
      <w:pPr>
        <w:tabs>
          <w:tab w:val="num" w:pos="567"/>
        </w:tabs>
        <w:ind w:left="567" w:hanging="279"/>
      </w:pPr>
      <w:rPr>
        <w:rFonts w:hint="default"/>
      </w:rPr>
    </w:lvl>
    <w:lvl w:ilvl="2">
      <w:start w:val="1"/>
      <w:numFmt w:val="decimal"/>
      <w:lvlText w:val="%1.%2.%3."/>
      <w:lvlJc w:val="left"/>
      <w:pPr>
        <w:tabs>
          <w:tab w:val="num" w:pos="1156"/>
        </w:tabs>
        <w:ind w:left="940" w:hanging="504"/>
      </w:pPr>
      <w:rPr>
        <w:rFonts w:hint="default"/>
      </w:rPr>
    </w:lvl>
    <w:lvl w:ilvl="3">
      <w:start w:val="1"/>
      <w:numFmt w:val="decimal"/>
      <w:lvlText w:val="%1.%2.%3.%4."/>
      <w:lvlJc w:val="left"/>
      <w:pPr>
        <w:tabs>
          <w:tab w:val="num" w:pos="1876"/>
        </w:tabs>
        <w:ind w:left="1444" w:hanging="648"/>
      </w:pPr>
      <w:rPr>
        <w:rFonts w:hint="default"/>
      </w:rPr>
    </w:lvl>
    <w:lvl w:ilvl="4">
      <w:start w:val="1"/>
      <w:numFmt w:val="decimal"/>
      <w:lvlText w:val="%1.%2.%3.%4.%5."/>
      <w:lvlJc w:val="left"/>
      <w:pPr>
        <w:tabs>
          <w:tab w:val="num" w:pos="2596"/>
        </w:tabs>
        <w:ind w:left="1948" w:hanging="792"/>
      </w:pPr>
      <w:rPr>
        <w:rFonts w:hint="default"/>
      </w:rPr>
    </w:lvl>
    <w:lvl w:ilvl="5">
      <w:start w:val="1"/>
      <w:numFmt w:val="decimal"/>
      <w:lvlText w:val="%1.%2.%3.%4.%5.%6."/>
      <w:lvlJc w:val="left"/>
      <w:pPr>
        <w:tabs>
          <w:tab w:val="num" w:pos="3316"/>
        </w:tabs>
        <w:ind w:left="2452" w:hanging="936"/>
      </w:pPr>
      <w:rPr>
        <w:rFonts w:hint="default"/>
      </w:rPr>
    </w:lvl>
    <w:lvl w:ilvl="6">
      <w:start w:val="1"/>
      <w:numFmt w:val="decimal"/>
      <w:lvlText w:val="%1.%2.%3.%4.%5.%6.%7."/>
      <w:lvlJc w:val="left"/>
      <w:pPr>
        <w:tabs>
          <w:tab w:val="num" w:pos="3676"/>
        </w:tabs>
        <w:ind w:left="2956" w:hanging="1080"/>
      </w:pPr>
      <w:rPr>
        <w:rFonts w:hint="default"/>
      </w:rPr>
    </w:lvl>
    <w:lvl w:ilvl="7">
      <w:start w:val="1"/>
      <w:numFmt w:val="decimal"/>
      <w:lvlText w:val="%1.%2.%3.%4.%5.%6.%7.%8."/>
      <w:lvlJc w:val="left"/>
      <w:pPr>
        <w:tabs>
          <w:tab w:val="num" w:pos="4396"/>
        </w:tabs>
        <w:ind w:left="3460" w:hanging="1224"/>
      </w:pPr>
      <w:rPr>
        <w:rFonts w:hint="default"/>
      </w:rPr>
    </w:lvl>
    <w:lvl w:ilvl="8">
      <w:start w:val="1"/>
      <w:numFmt w:val="decimal"/>
      <w:lvlText w:val="%1.%2.%3.%4.%5.%6.%7.%8.%9."/>
      <w:lvlJc w:val="left"/>
      <w:pPr>
        <w:tabs>
          <w:tab w:val="num" w:pos="5116"/>
        </w:tabs>
        <w:ind w:left="4036" w:hanging="1440"/>
      </w:pPr>
      <w:rPr>
        <w:rFonts w:hint="default"/>
      </w:rPr>
    </w:lvl>
  </w:abstractNum>
  <w:abstractNum w:abstractNumId="22" w15:restartNumberingAfterBreak="0">
    <w:nsid w:val="37EF0EA9"/>
    <w:multiLevelType w:val="multilevel"/>
    <w:tmpl w:val="7C30A00C"/>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3" w15:restartNumberingAfterBreak="0">
    <w:nsid w:val="42600CBF"/>
    <w:multiLevelType w:val="hybridMultilevel"/>
    <w:tmpl w:val="C5FE2F54"/>
    <w:lvl w:ilvl="0" w:tplc="3A4AB0E6">
      <w:start w:val="1"/>
      <w:numFmt w:val="decimal"/>
      <w:lvlText w:val="[%1]"/>
      <w:lvlJc w:val="left"/>
      <w:pPr>
        <w:tabs>
          <w:tab w:val="num" w:pos="360"/>
        </w:tabs>
        <w:ind w:left="357" w:hanging="35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45CE2601"/>
    <w:multiLevelType w:val="multilevel"/>
    <w:tmpl w:val="9D94CF48"/>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5" w15:restartNumberingAfterBreak="0">
    <w:nsid w:val="5B790036"/>
    <w:multiLevelType w:val="hybridMultilevel"/>
    <w:tmpl w:val="617061B2"/>
    <w:lvl w:ilvl="0" w:tplc="AA701D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4D506BC"/>
    <w:multiLevelType w:val="hybridMultilevel"/>
    <w:tmpl w:val="00BC7F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72073A1"/>
    <w:multiLevelType w:val="multilevel"/>
    <w:tmpl w:val="06D0CF62"/>
    <w:lvl w:ilvl="0">
      <w:start w:val="2"/>
      <w:numFmt w:val="decimal"/>
      <w:isLgl/>
      <w:lvlText w:val="%1-"/>
      <w:lvlJc w:val="left"/>
      <w:pPr>
        <w:tabs>
          <w:tab w:val="num" w:pos="360"/>
        </w:tabs>
        <w:ind w:left="360" w:hanging="360"/>
      </w:pPr>
      <w:rPr>
        <w:rFonts w:hint="default"/>
      </w:rPr>
    </w:lvl>
    <w:lvl w:ilvl="1">
      <w:start w:val="1"/>
      <w:numFmt w:val="decima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8" w15:restartNumberingAfterBreak="0">
    <w:nsid w:val="6A296B19"/>
    <w:multiLevelType w:val="singleLevel"/>
    <w:tmpl w:val="DC40357A"/>
    <w:lvl w:ilvl="0">
      <w:start w:val="1"/>
      <w:numFmt w:val="decimal"/>
      <w:lvlText w:val="[%1]"/>
      <w:legacy w:legacy="1" w:legacySpace="120" w:legacyIndent="360"/>
      <w:lvlJc w:val="left"/>
      <w:pPr>
        <w:ind w:left="360" w:hanging="360"/>
      </w:pPr>
    </w:lvl>
  </w:abstractNum>
  <w:abstractNum w:abstractNumId="29" w15:restartNumberingAfterBreak="0">
    <w:nsid w:val="6DDF4635"/>
    <w:multiLevelType w:val="multilevel"/>
    <w:tmpl w:val="DE5C1620"/>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isLgl/>
      <w:lvlText w:val="%1-%2-%3-"/>
      <w:lvlJc w:val="left"/>
      <w:pPr>
        <w:tabs>
          <w:tab w:val="num" w:pos="851"/>
        </w:tabs>
        <w:ind w:left="851" w:hanging="851"/>
      </w:pPr>
      <w:rPr>
        <w:rFonts w:ascii="Times New Roman" w:hAnsi="Times New Roman" w:cs="B Nazanin" w:hint="default"/>
        <w:b/>
        <w:bCs/>
        <w:i w:val="0"/>
        <w:iCs w:val="0"/>
        <w:sz w:val="22"/>
        <w:szCs w:val="26"/>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30" w15:restartNumberingAfterBreak="0">
    <w:nsid w:val="737641B5"/>
    <w:multiLevelType w:val="multilevel"/>
    <w:tmpl w:val="1C20535A"/>
    <w:lvl w:ilvl="0">
      <w:start w:val="2"/>
      <w:numFmt w:val="decimal"/>
      <w:lvlText w:val="%1-"/>
      <w:lvlJc w:val="left"/>
      <w:pPr>
        <w:tabs>
          <w:tab w:val="num" w:pos="465"/>
        </w:tabs>
        <w:ind w:right="465" w:hanging="465"/>
      </w:pPr>
      <w:rPr>
        <w:rFonts w:hint="default"/>
        <w:sz w:val="24"/>
      </w:rPr>
    </w:lvl>
    <w:lvl w:ilvl="1">
      <w:start w:val="2"/>
      <w:numFmt w:val="decimal"/>
      <w:lvlText w:val="%1-%2."/>
      <w:lvlJc w:val="left"/>
      <w:pPr>
        <w:tabs>
          <w:tab w:val="num" w:pos="720"/>
        </w:tabs>
        <w:ind w:right="720" w:hanging="720"/>
      </w:pPr>
      <w:rPr>
        <w:rFonts w:hint="default"/>
        <w:sz w:val="24"/>
      </w:rPr>
    </w:lvl>
    <w:lvl w:ilvl="2">
      <w:start w:val="1"/>
      <w:numFmt w:val="decimal"/>
      <w:lvlText w:val="%1-%2.%3."/>
      <w:lvlJc w:val="left"/>
      <w:pPr>
        <w:tabs>
          <w:tab w:val="num" w:pos="720"/>
        </w:tabs>
        <w:ind w:right="720" w:hanging="720"/>
      </w:pPr>
      <w:rPr>
        <w:rFonts w:hint="default"/>
        <w:sz w:val="24"/>
      </w:rPr>
    </w:lvl>
    <w:lvl w:ilvl="3">
      <w:start w:val="1"/>
      <w:numFmt w:val="decimal"/>
      <w:lvlText w:val="%1-%2.%3.%4."/>
      <w:lvlJc w:val="left"/>
      <w:pPr>
        <w:tabs>
          <w:tab w:val="num" w:pos="1080"/>
        </w:tabs>
        <w:ind w:right="1080" w:hanging="1080"/>
      </w:pPr>
      <w:rPr>
        <w:rFonts w:hint="default"/>
        <w:sz w:val="24"/>
      </w:rPr>
    </w:lvl>
    <w:lvl w:ilvl="4">
      <w:start w:val="1"/>
      <w:numFmt w:val="decimal"/>
      <w:lvlText w:val="%1-%2.%3.%4.%5."/>
      <w:lvlJc w:val="left"/>
      <w:pPr>
        <w:tabs>
          <w:tab w:val="num" w:pos="1440"/>
        </w:tabs>
        <w:ind w:right="1440" w:hanging="1440"/>
      </w:pPr>
      <w:rPr>
        <w:rFonts w:hint="default"/>
        <w:sz w:val="24"/>
      </w:rPr>
    </w:lvl>
    <w:lvl w:ilvl="5">
      <w:start w:val="1"/>
      <w:numFmt w:val="decimal"/>
      <w:lvlText w:val="%1-%2.%3.%4.%5.%6."/>
      <w:lvlJc w:val="left"/>
      <w:pPr>
        <w:tabs>
          <w:tab w:val="num" w:pos="1440"/>
        </w:tabs>
        <w:ind w:right="1440" w:hanging="1440"/>
      </w:pPr>
      <w:rPr>
        <w:rFonts w:hint="default"/>
        <w:sz w:val="24"/>
      </w:rPr>
    </w:lvl>
    <w:lvl w:ilvl="6">
      <w:start w:val="1"/>
      <w:numFmt w:val="decimal"/>
      <w:lvlText w:val="%1-%2.%3.%4.%5.%6.%7."/>
      <w:lvlJc w:val="left"/>
      <w:pPr>
        <w:tabs>
          <w:tab w:val="num" w:pos="1800"/>
        </w:tabs>
        <w:ind w:right="1800" w:hanging="1800"/>
      </w:pPr>
      <w:rPr>
        <w:rFonts w:hint="default"/>
        <w:sz w:val="24"/>
      </w:rPr>
    </w:lvl>
    <w:lvl w:ilvl="7">
      <w:start w:val="1"/>
      <w:numFmt w:val="decimal"/>
      <w:lvlText w:val="%1-%2.%3.%4.%5.%6.%7.%8."/>
      <w:lvlJc w:val="left"/>
      <w:pPr>
        <w:tabs>
          <w:tab w:val="num" w:pos="1800"/>
        </w:tabs>
        <w:ind w:right="1800" w:hanging="1800"/>
      </w:pPr>
      <w:rPr>
        <w:rFonts w:hint="default"/>
        <w:sz w:val="24"/>
      </w:rPr>
    </w:lvl>
    <w:lvl w:ilvl="8">
      <w:start w:val="1"/>
      <w:numFmt w:val="decimal"/>
      <w:lvlText w:val="%1-%2.%3.%4.%5.%6.%7.%8.%9."/>
      <w:lvlJc w:val="left"/>
      <w:pPr>
        <w:tabs>
          <w:tab w:val="num" w:pos="2160"/>
        </w:tabs>
        <w:ind w:right="2160" w:hanging="2160"/>
      </w:pPr>
      <w:rPr>
        <w:rFonts w:hint="default"/>
        <w:sz w:val="24"/>
      </w:rPr>
    </w:lvl>
  </w:abstractNum>
  <w:abstractNum w:abstractNumId="31" w15:restartNumberingAfterBreak="0">
    <w:nsid w:val="7B5D7B0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827553824">
    <w:abstractNumId w:val="30"/>
  </w:num>
  <w:num w:numId="2" w16cid:durableId="1688630343">
    <w:abstractNumId w:val="28"/>
  </w:num>
  <w:num w:numId="3" w16cid:durableId="686758279">
    <w:abstractNumId w:val="10"/>
  </w:num>
  <w:num w:numId="4" w16cid:durableId="1960065994">
    <w:abstractNumId w:val="23"/>
  </w:num>
  <w:num w:numId="5" w16cid:durableId="179272265">
    <w:abstractNumId w:val="14"/>
  </w:num>
  <w:num w:numId="6" w16cid:durableId="1621767847">
    <w:abstractNumId w:val="13"/>
  </w:num>
  <w:num w:numId="7" w16cid:durableId="1267426893">
    <w:abstractNumId w:val="21"/>
  </w:num>
  <w:num w:numId="8" w16cid:durableId="9793768">
    <w:abstractNumId w:val="19"/>
  </w:num>
  <w:num w:numId="9" w16cid:durableId="371267654">
    <w:abstractNumId w:val="12"/>
  </w:num>
  <w:num w:numId="10" w16cid:durableId="1888642396">
    <w:abstractNumId w:val="16"/>
  </w:num>
  <w:num w:numId="11" w16cid:durableId="1614558246">
    <w:abstractNumId w:val="27"/>
  </w:num>
  <w:num w:numId="12" w16cid:durableId="1325087808">
    <w:abstractNumId w:val="17"/>
  </w:num>
  <w:num w:numId="13" w16cid:durableId="1236402206">
    <w:abstractNumId w:val="22"/>
  </w:num>
  <w:num w:numId="14" w16cid:durableId="1571689693">
    <w:abstractNumId w:val="24"/>
  </w:num>
  <w:num w:numId="15" w16cid:durableId="934750929">
    <w:abstractNumId w:val="15"/>
  </w:num>
  <w:num w:numId="16" w16cid:durableId="905993602">
    <w:abstractNumId w:val="20"/>
  </w:num>
  <w:num w:numId="17" w16cid:durableId="1447507944">
    <w:abstractNumId w:val="29"/>
  </w:num>
  <w:num w:numId="18" w16cid:durableId="280385155">
    <w:abstractNumId w:val="11"/>
  </w:num>
  <w:num w:numId="19" w16cid:durableId="1073356505">
    <w:abstractNumId w:val="31"/>
  </w:num>
  <w:num w:numId="20" w16cid:durableId="560673890">
    <w:abstractNumId w:val="18"/>
  </w:num>
  <w:num w:numId="21" w16cid:durableId="1119034414">
    <w:abstractNumId w:val="9"/>
  </w:num>
  <w:num w:numId="22" w16cid:durableId="1150906717">
    <w:abstractNumId w:val="7"/>
  </w:num>
  <w:num w:numId="23" w16cid:durableId="896161576">
    <w:abstractNumId w:val="6"/>
  </w:num>
  <w:num w:numId="24" w16cid:durableId="1286500967">
    <w:abstractNumId w:val="5"/>
  </w:num>
  <w:num w:numId="25" w16cid:durableId="213155482">
    <w:abstractNumId w:val="4"/>
  </w:num>
  <w:num w:numId="26" w16cid:durableId="1600409200">
    <w:abstractNumId w:val="8"/>
  </w:num>
  <w:num w:numId="27" w16cid:durableId="1795248455">
    <w:abstractNumId w:val="3"/>
  </w:num>
  <w:num w:numId="28" w16cid:durableId="1515455883">
    <w:abstractNumId w:val="2"/>
  </w:num>
  <w:num w:numId="29" w16cid:durableId="929776420">
    <w:abstractNumId w:val="1"/>
  </w:num>
  <w:num w:numId="30" w16cid:durableId="1153719735">
    <w:abstractNumId w:val="0"/>
  </w:num>
  <w:num w:numId="31" w16cid:durableId="1134105351">
    <w:abstractNumId w:val="26"/>
  </w:num>
  <w:num w:numId="32" w16cid:durableId="111713657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U3NDUyNjczNzU3MbZU0lEKTi0uzszPAykwrAUAJFanuiwAAAA="/>
  </w:docVars>
  <w:rsids>
    <w:rsidRoot w:val="00261AD7"/>
    <w:rsid w:val="00053682"/>
    <w:rsid w:val="00053A2D"/>
    <w:rsid w:val="00094926"/>
    <w:rsid w:val="000B1BE2"/>
    <w:rsid w:val="001434FE"/>
    <w:rsid w:val="001841B5"/>
    <w:rsid w:val="00194A64"/>
    <w:rsid w:val="001E6637"/>
    <w:rsid w:val="002050F0"/>
    <w:rsid w:val="002105C6"/>
    <w:rsid w:val="00243815"/>
    <w:rsid w:val="00261AD7"/>
    <w:rsid w:val="002B57D8"/>
    <w:rsid w:val="00300ADC"/>
    <w:rsid w:val="0030586B"/>
    <w:rsid w:val="00316AD4"/>
    <w:rsid w:val="00352CA6"/>
    <w:rsid w:val="003816BE"/>
    <w:rsid w:val="00384E12"/>
    <w:rsid w:val="00426D91"/>
    <w:rsid w:val="0048007C"/>
    <w:rsid w:val="005E189E"/>
    <w:rsid w:val="00681D3F"/>
    <w:rsid w:val="006C5ABC"/>
    <w:rsid w:val="00704987"/>
    <w:rsid w:val="007D2685"/>
    <w:rsid w:val="008D741F"/>
    <w:rsid w:val="00900825"/>
    <w:rsid w:val="00911FD9"/>
    <w:rsid w:val="0094001F"/>
    <w:rsid w:val="00962201"/>
    <w:rsid w:val="009A6324"/>
    <w:rsid w:val="009F069F"/>
    <w:rsid w:val="00A10E01"/>
    <w:rsid w:val="00A83EEE"/>
    <w:rsid w:val="00A9548D"/>
    <w:rsid w:val="00AD3950"/>
    <w:rsid w:val="00B55B31"/>
    <w:rsid w:val="00B72C22"/>
    <w:rsid w:val="00B910DA"/>
    <w:rsid w:val="00BC3615"/>
    <w:rsid w:val="00C96579"/>
    <w:rsid w:val="00CB1B6C"/>
    <w:rsid w:val="00CD2295"/>
    <w:rsid w:val="00CE1501"/>
    <w:rsid w:val="00CE29DA"/>
    <w:rsid w:val="00CF7B98"/>
    <w:rsid w:val="00D1342A"/>
    <w:rsid w:val="00D64F5C"/>
    <w:rsid w:val="00DC354D"/>
    <w:rsid w:val="00E71824"/>
    <w:rsid w:val="00E77957"/>
    <w:rsid w:val="00EF3961"/>
    <w:rsid w:val="00F07C62"/>
    <w:rsid w:val="00FA5A45"/>
    <w:rsid w:val="00FD6A4A"/>
    <w:rsid w:val="00FE71E2"/>
    <w:rsid w:val="00FF61AC"/>
    <w:rsid w:val="00FF799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8567A8"/>
  <w15:chartTrackingRefBased/>
  <w15:docId w15:val="{B354AEFE-D014-4B59-BE34-248D7BC42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iPriority="99"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iPriority="99" w:unhideWhenUsed="1"/>
    <w:lsdException w:name="Plain Text" w:semiHidden="1"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utoRedefine/>
    <w:qFormat/>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B Nazanin"/>
      <w:sz w:val="20"/>
      <w:szCs w:val="24"/>
    </w:rPr>
  </w:style>
  <w:style w:type="paragraph" w:styleId="Heading1">
    <w:name w:val="heading 1"/>
    <w:basedOn w:val="Normal"/>
    <w:link w:val="Heading1Char"/>
    <w:autoRedefine/>
    <w:qFormat/>
    <w:rsid w:val="00261AD7"/>
    <w:pPr>
      <w:keepNext/>
      <w:numPr>
        <w:numId w:val="6"/>
      </w:numPr>
      <w:spacing w:before="360" w:after="120"/>
      <w:ind w:left="357" w:hanging="357"/>
      <w:jc w:val="left"/>
      <w:outlineLvl w:val="0"/>
    </w:pPr>
    <w:rPr>
      <w:b/>
      <w:bCs/>
      <w:kern w:val="28"/>
      <w:sz w:val="24"/>
      <w:lang w:bidi="fa-IR"/>
    </w:rPr>
  </w:style>
  <w:style w:type="paragraph" w:styleId="Heading2">
    <w:name w:val="heading 2"/>
    <w:basedOn w:val="Heading1"/>
    <w:link w:val="Heading2Char"/>
    <w:autoRedefine/>
    <w:qFormat/>
    <w:rsid w:val="00261AD7"/>
    <w:pPr>
      <w:numPr>
        <w:ilvl w:val="1"/>
      </w:numPr>
      <w:spacing w:before="240" w:after="60"/>
      <w:outlineLvl w:val="1"/>
    </w:pPr>
  </w:style>
  <w:style w:type="paragraph" w:styleId="Heading3">
    <w:name w:val="heading 3"/>
    <w:basedOn w:val="Heading2"/>
    <w:link w:val="Heading3Char"/>
    <w:autoRedefine/>
    <w:qFormat/>
    <w:rsid w:val="00261AD7"/>
    <w:pPr>
      <w:numPr>
        <w:ilvl w:val="2"/>
        <w:numId w:val="16"/>
      </w:numPr>
      <w:outlineLvl w:val="2"/>
    </w:pPr>
    <w:rPr>
      <w:smallCaps/>
      <w:szCs w:val="22"/>
    </w:rPr>
  </w:style>
  <w:style w:type="paragraph" w:styleId="Heading4">
    <w:name w:val="heading 4"/>
    <w:basedOn w:val="Normal"/>
    <w:next w:val="Normal"/>
    <w:link w:val="Heading4Char"/>
    <w:qFormat/>
    <w:rsid w:val="00261AD7"/>
    <w:pPr>
      <w:keepNext/>
      <w:spacing w:before="120" w:after="60"/>
      <w:outlineLvl w:val="3"/>
    </w:pPr>
    <w:rPr>
      <w:i/>
      <w:sz w:val="18"/>
    </w:rPr>
  </w:style>
  <w:style w:type="paragraph" w:styleId="Heading5">
    <w:name w:val="heading 5"/>
    <w:basedOn w:val="Normal"/>
    <w:next w:val="Normal"/>
    <w:link w:val="Heading5Char"/>
    <w:qFormat/>
    <w:rsid w:val="00261AD7"/>
    <w:pPr>
      <w:spacing w:before="240" w:after="60"/>
      <w:outlineLvl w:val="4"/>
    </w:pPr>
    <w:rPr>
      <w:rFonts w:cs="Times New Roman"/>
      <w:sz w:val="18"/>
      <w:szCs w:val="18"/>
    </w:rPr>
  </w:style>
  <w:style w:type="paragraph" w:styleId="Heading6">
    <w:name w:val="heading 6"/>
    <w:basedOn w:val="Normal"/>
    <w:next w:val="Normal"/>
    <w:link w:val="Heading6Char"/>
    <w:qFormat/>
    <w:rsid w:val="00261AD7"/>
    <w:pPr>
      <w:spacing w:before="240" w:after="60"/>
      <w:outlineLvl w:val="5"/>
    </w:pPr>
    <w:rPr>
      <w:rFonts w:cs="Times New Roman"/>
      <w:i/>
      <w:iCs/>
      <w:sz w:val="16"/>
      <w:szCs w:val="16"/>
    </w:rPr>
  </w:style>
  <w:style w:type="paragraph" w:styleId="Heading7">
    <w:name w:val="heading 7"/>
    <w:basedOn w:val="Normal"/>
    <w:next w:val="Normal"/>
    <w:link w:val="Heading7Char"/>
    <w:qFormat/>
    <w:rsid w:val="00261AD7"/>
    <w:pPr>
      <w:spacing w:before="240" w:after="60"/>
      <w:outlineLvl w:val="6"/>
    </w:pPr>
    <w:rPr>
      <w:rFonts w:cs="Times New Roman"/>
      <w:sz w:val="16"/>
      <w:szCs w:val="16"/>
    </w:rPr>
  </w:style>
  <w:style w:type="paragraph" w:styleId="Heading8">
    <w:name w:val="heading 8"/>
    <w:basedOn w:val="Normal"/>
    <w:next w:val="Normal"/>
    <w:link w:val="Heading8Char"/>
    <w:qFormat/>
    <w:rsid w:val="00261AD7"/>
    <w:pPr>
      <w:spacing w:before="240" w:after="60"/>
      <w:outlineLvl w:val="7"/>
    </w:pPr>
    <w:rPr>
      <w:rFonts w:cs="Times New Roman"/>
      <w:i/>
      <w:iCs/>
      <w:sz w:val="16"/>
      <w:szCs w:val="16"/>
    </w:rPr>
  </w:style>
  <w:style w:type="paragraph" w:styleId="Heading9">
    <w:name w:val="heading 9"/>
    <w:basedOn w:val="Normal"/>
    <w:next w:val="Normal"/>
    <w:link w:val="Heading9Char"/>
    <w:qFormat/>
    <w:rsid w:val="00261AD7"/>
    <w:pPr>
      <w:spacing w:before="240" w:after="60"/>
      <w:outlineLvl w:val="8"/>
    </w:pPr>
    <w:rPr>
      <w:rFonts w:cs="Times New Roman"/>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61AD7"/>
    <w:rPr>
      <w:rFonts w:ascii="Times New Roman" w:eastAsia="Times New Roman" w:hAnsi="Times New Roman" w:cs="B Nazanin"/>
      <w:b/>
      <w:bCs/>
      <w:kern w:val="28"/>
      <w:sz w:val="24"/>
      <w:szCs w:val="24"/>
      <w:lang w:bidi="fa-IR"/>
    </w:rPr>
  </w:style>
  <w:style w:type="character" w:customStyle="1" w:styleId="Heading2Char">
    <w:name w:val="Heading 2 Char"/>
    <w:basedOn w:val="DefaultParagraphFont"/>
    <w:link w:val="Heading2"/>
    <w:rsid w:val="00261AD7"/>
    <w:rPr>
      <w:rFonts w:ascii="Times New Roman" w:eastAsia="Times New Roman" w:hAnsi="Times New Roman" w:cs="B Nazanin"/>
      <w:b/>
      <w:bCs/>
      <w:kern w:val="28"/>
      <w:sz w:val="24"/>
      <w:szCs w:val="24"/>
      <w:lang w:bidi="fa-IR"/>
    </w:rPr>
  </w:style>
  <w:style w:type="character" w:customStyle="1" w:styleId="Heading3Char">
    <w:name w:val="Heading 3 Char"/>
    <w:basedOn w:val="DefaultParagraphFont"/>
    <w:link w:val="Heading3"/>
    <w:rsid w:val="00261AD7"/>
    <w:rPr>
      <w:rFonts w:ascii="Times New Roman" w:eastAsia="Times New Roman" w:hAnsi="Times New Roman" w:cs="B Nazanin"/>
      <w:b/>
      <w:bCs/>
      <w:smallCaps/>
      <w:kern w:val="28"/>
      <w:sz w:val="24"/>
      <w:lang w:bidi="fa-IR"/>
    </w:rPr>
  </w:style>
  <w:style w:type="character" w:customStyle="1" w:styleId="Heading4Char">
    <w:name w:val="Heading 4 Char"/>
    <w:basedOn w:val="DefaultParagraphFont"/>
    <w:link w:val="Heading4"/>
    <w:rsid w:val="00261AD7"/>
    <w:rPr>
      <w:rFonts w:ascii="Times New Roman" w:eastAsia="Times New Roman" w:hAnsi="Times New Roman" w:cs="B Nazanin"/>
      <w:i/>
      <w:sz w:val="18"/>
      <w:szCs w:val="24"/>
    </w:rPr>
  </w:style>
  <w:style w:type="character" w:customStyle="1" w:styleId="Heading5Char">
    <w:name w:val="Heading 5 Char"/>
    <w:basedOn w:val="DefaultParagraphFont"/>
    <w:link w:val="Heading5"/>
    <w:rsid w:val="00261AD7"/>
    <w:rPr>
      <w:rFonts w:ascii="Times New Roman" w:eastAsia="Times New Roman" w:hAnsi="Times New Roman" w:cs="Times New Roman"/>
      <w:sz w:val="18"/>
      <w:szCs w:val="18"/>
    </w:rPr>
  </w:style>
  <w:style w:type="character" w:customStyle="1" w:styleId="Heading6Char">
    <w:name w:val="Heading 6 Char"/>
    <w:basedOn w:val="DefaultParagraphFont"/>
    <w:link w:val="Heading6"/>
    <w:rsid w:val="00261AD7"/>
    <w:rPr>
      <w:rFonts w:ascii="Times New Roman" w:eastAsia="Times New Roman" w:hAnsi="Times New Roman" w:cs="Times New Roman"/>
      <w:i/>
      <w:iCs/>
      <w:sz w:val="16"/>
      <w:szCs w:val="16"/>
    </w:rPr>
  </w:style>
  <w:style w:type="character" w:customStyle="1" w:styleId="Heading7Char">
    <w:name w:val="Heading 7 Char"/>
    <w:basedOn w:val="DefaultParagraphFont"/>
    <w:link w:val="Heading7"/>
    <w:rsid w:val="00261AD7"/>
    <w:rPr>
      <w:rFonts w:ascii="Times New Roman" w:eastAsia="Times New Roman" w:hAnsi="Times New Roman" w:cs="Times New Roman"/>
      <w:sz w:val="16"/>
      <w:szCs w:val="16"/>
    </w:rPr>
  </w:style>
  <w:style w:type="character" w:customStyle="1" w:styleId="Heading8Char">
    <w:name w:val="Heading 8 Char"/>
    <w:basedOn w:val="DefaultParagraphFont"/>
    <w:link w:val="Heading8"/>
    <w:rsid w:val="00261AD7"/>
    <w:rPr>
      <w:rFonts w:ascii="Times New Roman" w:eastAsia="Times New Roman" w:hAnsi="Times New Roman" w:cs="Times New Roman"/>
      <w:i/>
      <w:iCs/>
      <w:sz w:val="16"/>
      <w:szCs w:val="16"/>
    </w:rPr>
  </w:style>
  <w:style w:type="character" w:customStyle="1" w:styleId="Heading9Char">
    <w:name w:val="Heading 9 Char"/>
    <w:basedOn w:val="DefaultParagraphFont"/>
    <w:link w:val="Heading9"/>
    <w:rsid w:val="00261AD7"/>
    <w:rPr>
      <w:rFonts w:ascii="Times New Roman" w:eastAsia="Times New Roman" w:hAnsi="Times New Roman" w:cs="Times New Roman"/>
      <w:sz w:val="16"/>
      <w:szCs w:val="16"/>
    </w:rPr>
  </w:style>
  <w:style w:type="paragraph" w:styleId="PlainText">
    <w:name w:val="Plain Text"/>
    <w:basedOn w:val="Normal"/>
    <w:link w:val="PlainTextChar"/>
    <w:autoRedefine/>
    <w:semiHidden/>
    <w:rsid w:val="00261AD7"/>
  </w:style>
  <w:style w:type="character" w:customStyle="1" w:styleId="PlainTextChar">
    <w:name w:val="Plain Text Char"/>
    <w:basedOn w:val="DefaultParagraphFont"/>
    <w:link w:val="PlainText"/>
    <w:semiHidden/>
    <w:rsid w:val="00261AD7"/>
    <w:rPr>
      <w:rFonts w:ascii="Times New Roman" w:eastAsia="Times New Roman" w:hAnsi="Times New Roman" w:cs="B Nazanin"/>
      <w:sz w:val="20"/>
      <w:szCs w:val="24"/>
    </w:rPr>
  </w:style>
  <w:style w:type="paragraph" w:styleId="FootnoteText">
    <w:name w:val="footnote text"/>
    <w:basedOn w:val="Normal"/>
    <w:link w:val="FootnoteTextChar"/>
    <w:rsid w:val="00261AD7"/>
    <w:pPr>
      <w:bidi w:val="0"/>
      <w:spacing w:line="252" w:lineRule="auto"/>
      <w:ind w:firstLine="202"/>
    </w:pPr>
    <w:rPr>
      <w:sz w:val="16"/>
      <w:szCs w:val="20"/>
    </w:rPr>
  </w:style>
  <w:style w:type="character" w:customStyle="1" w:styleId="FootnoteTextChar">
    <w:name w:val="Footnote Text Char"/>
    <w:basedOn w:val="DefaultParagraphFont"/>
    <w:link w:val="FootnoteText"/>
    <w:rsid w:val="00261AD7"/>
    <w:rPr>
      <w:rFonts w:ascii="Times New Roman" w:eastAsia="Times New Roman" w:hAnsi="Times New Roman" w:cs="B Nazanin"/>
      <w:sz w:val="16"/>
      <w:szCs w:val="20"/>
    </w:rPr>
  </w:style>
  <w:style w:type="character" w:styleId="FootnoteReference">
    <w:name w:val="footnote reference"/>
    <w:rsid w:val="00261AD7"/>
    <w:rPr>
      <w:rFonts w:ascii="Times New Roman" w:hAnsi="Times New Roman" w:cs="B Nazanin"/>
      <w:sz w:val="16"/>
      <w:szCs w:val="20"/>
      <w:vertAlign w:val="superscript"/>
    </w:rPr>
  </w:style>
  <w:style w:type="paragraph" w:styleId="Header">
    <w:name w:val="header"/>
    <w:basedOn w:val="Normal"/>
    <w:link w:val="HeaderChar"/>
    <w:autoRedefine/>
    <w:rsid w:val="00261AD7"/>
    <w:pPr>
      <w:tabs>
        <w:tab w:val="right" w:pos="9072"/>
      </w:tabs>
    </w:pPr>
  </w:style>
  <w:style w:type="character" w:customStyle="1" w:styleId="HeaderChar">
    <w:name w:val="Header Char"/>
    <w:basedOn w:val="DefaultParagraphFont"/>
    <w:link w:val="Header"/>
    <w:rsid w:val="00261AD7"/>
    <w:rPr>
      <w:rFonts w:ascii="Times New Roman" w:eastAsia="Times New Roman" w:hAnsi="Times New Roman" w:cs="B Nazanin"/>
      <w:sz w:val="20"/>
      <w:szCs w:val="24"/>
    </w:rPr>
  </w:style>
  <w:style w:type="paragraph" w:styleId="Footer">
    <w:name w:val="footer"/>
    <w:basedOn w:val="Normal"/>
    <w:link w:val="FooterChar"/>
    <w:autoRedefine/>
    <w:rsid w:val="00261AD7"/>
    <w:pPr>
      <w:tabs>
        <w:tab w:val="center" w:pos="4536"/>
        <w:tab w:val="right" w:pos="9072"/>
      </w:tabs>
    </w:pPr>
    <w:rPr>
      <w:lang w:bidi="fa-IR"/>
    </w:rPr>
  </w:style>
  <w:style w:type="character" w:customStyle="1" w:styleId="FooterChar">
    <w:name w:val="Footer Char"/>
    <w:basedOn w:val="DefaultParagraphFont"/>
    <w:link w:val="Footer"/>
    <w:rsid w:val="00261AD7"/>
    <w:rPr>
      <w:rFonts w:ascii="Times New Roman" w:eastAsia="Times New Roman" w:hAnsi="Times New Roman" w:cs="B Nazanin"/>
      <w:sz w:val="20"/>
      <w:szCs w:val="24"/>
      <w:lang w:bidi="fa-IR"/>
    </w:rPr>
  </w:style>
  <w:style w:type="paragraph" w:styleId="Title">
    <w:name w:val="Title"/>
    <w:basedOn w:val="Normal"/>
    <w:link w:val="TitleChar"/>
    <w:autoRedefine/>
    <w:qFormat/>
    <w:rsid w:val="00261AD7"/>
    <w:pPr>
      <w:spacing w:before="1200"/>
      <w:jc w:val="center"/>
    </w:pPr>
    <w:rPr>
      <w:b/>
      <w:bCs/>
      <w:kern w:val="28"/>
      <w:sz w:val="28"/>
      <w:szCs w:val="32"/>
      <w:lang w:bidi="fa-IR"/>
    </w:rPr>
  </w:style>
  <w:style w:type="character" w:customStyle="1" w:styleId="TitleChar">
    <w:name w:val="Title Char"/>
    <w:basedOn w:val="DefaultParagraphFont"/>
    <w:link w:val="Title"/>
    <w:rsid w:val="00261AD7"/>
    <w:rPr>
      <w:rFonts w:ascii="Times New Roman" w:eastAsia="Times New Roman" w:hAnsi="Times New Roman" w:cs="B Nazanin"/>
      <w:b/>
      <w:bCs/>
      <w:kern w:val="28"/>
      <w:sz w:val="28"/>
      <w:szCs w:val="32"/>
      <w:lang w:bidi="fa-IR"/>
    </w:rPr>
  </w:style>
  <w:style w:type="paragraph" w:customStyle="1" w:styleId="Authors">
    <w:name w:val="Authors"/>
    <w:basedOn w:val="Normal"/>
    <w:autoRedefine/>
    <w:rsid w:val="00DC354D"/>
    <w:pPr>
      <w:framePr w:wrap="around" w:vAnchor="text" w:hAnchor="text" w:xAlign="center" w:y="1"/>
      <w:jc w:val="center"/>
    </w:pPr>
    <w:rPr>
      <w:b/>
      <w:bCs/>
      <w:lang w:bidi="fa-IR"/>
    </w:rPr>
  </w:style>
  <w:style w:type="character" w:styleId="Hyperlink">
    <w:name w:val="Hyperlink"/>
    <w:semiHidden/>
    <w:rsid w:val="00261AD7"/>
    <w:rPr>
      <w:color w:val="0000FF"/>
      <w:u w:val="single"/>
    </w:rPr>
  </w:style>
  <w:style w:type="paragraph" w:customStyle="1" w:styleId="Paragraph">
    <w:name w:val="Paragraph"/>
    <w:basedOn w:val="Normal"/>
    <w:link w:val="ParagraphChar"/>
    <w:autoRedefine/>
    <w:rsid w:val="00261AD7"/>
    <w:pPr>
      <w:widowControl w:val="0"/>
      <w:ind w:firstLine="340"/>
      <w:jc w:val="lowKashida"/>
    </w:pPr>
    <w:rPr>
      <w:lang w:bidi="fa-IR"/>
    </w:rPr>
  </w:style>
  <w:style w:type="paragraph" w:customStyle="1" w:styleId="References">
    <w:name w:val="References"/>
    <w:basedOn w:val="Normal"/>
    <w:rsid w:val="00261AD7"/>
    <w:pPr>
      <w:bidi w:val="0"/>
    </w:pPr>
    <w:rPr>
      <w:rFonts w:cs="Times New Roman"/>
      <w:sz w:val="16"/>
      <w:szCs w:val="20"/>
      <w:lang w:bidi="fa-IR"/>
    </w:rPr>
  </w:style>
  <w:style w:type="character" w:styleId="PageNumber">
    <w:name w:val="page number"/>
    <w:rsid w:val="00261AD7"/>
    <w:rPr>
      <w:rFonts w:ascii="Times New Roman" w:hAnsi="Times New Roman" w:cs="B Nazanin"/>
      <w:sz w:val="20"/>
      <w:szCs w:val="24"/>
      <w:lang w:bidi="fa-IR"/>
    </w:rPr>
  </w:style>
  <w:style w:type="paragraph" w:customStyle="1" w:styleId="Abstract">
    <w:name w:val="Abstract"/>
    <w:basedOn w:val="Normal"/>
    <w:autoRedefine/>
    <w:rsid w:val="00261AD7"/>
    <w:pPr>
      <w:overflowPunct/>
      <w:autoSpaceDE/>
      <w:autoSpaceDN/>
      <w:adjustRightInd/>
      <w:textAlignment w:val="auto"/>
    </w:pPr>
    <w:rPr>
      <w:bCs/>
      <w:i/>
      <w:szCs w:val="20"/>
      <w:lang w:bidi="fa-IR"/>
    </w:rPr>
  </w:style>
  <w:style w:type="paragraph" w:customStyle="1" w:styleId="Equation">
    <w:name w:val="Equation"/>
    <w:basedOn w:val="Normal"/>
    <w:autoRedefine/>
    <w:rsid w:val="00261AD7"/>
    <w:pPr>
      <w:widowControl w:val="0"/>
      <w:tabs>
        <w:tab w:val="right" w:pos="4309"/>
        <w:tab w:val="right" w:pos="4649"/>
      </w:tabs>
      <w:spacing w:before="60" w:after="100" w:afterAutospacing="1"/>
    </w:pPr>
    <w:rPr>
      <w:lang w:bidi="fa-IR"/>
    </w:rPr>
  </w:style>
  <w:style w:type="paragraph" w:customStyle="1" w:styleId="FigurePosition">
    <w:name w:val="Figure Position"/>
    <w:basedOn w:val="Normal"/>
    <w:autoRedefine/>
    <w:rsid w:val="00261AD7"/>
    <w:pPr>
      <w:jc w:val="center"/>
    </w:pPr>
    <w:rPr>
      <w:sz w:val="16"/>
      <w:szCs w:val="20"/>
    </w:rPr>
  </w:style>
  <w:style w:type="character" w:styleId="FollowedHyperlink">
    <w:name w:val="FollowedHyperlink"/>
    <w:semiHidden/>
    <w:rsid w:val="00261AD7"/>
    <w:rPr>
      <w:color w:val="800080"/>
      <w:u w:val="single"/>
    </w:rPr>
  </w:style>
  <w:style w:type="paragraph" w:customStyle="1" w:styleId="Index">
    <w:name w:val="Index"/>
    <w:basedOn w:val="Normal"/>
    <w:autoRedefine/>
    <w:rsid w:val="00261AD7"/>
    <w:pPr>
      <w:overflowPunct/>
      <w:autoSpaceDE/>
      <w:autoSpaceDN/>
      <w:adjustRightInd/>
      <w:spacing w:after="90"/>
      <w:jc w:val="left"/>
      <w:textAlignment w:val="auto"/>
    </w:pPr>
    <w:rPr>
      <w:sz w:val="16"/>
      <w:szCs w:val="20"/>
      <w:lang w:bidi="fa-IR"/>
    </w:rPr>
  </w:style>
  <w:style w:type="paragraph" w:customStyle="1" w:styleId="Heading">
    <w:name w:val="Heading"/>
    <w:basedOn w:val="Normal"/>
    <w:autoRedefine/>
    <w:rsid w:val="00261AD7"/>
    <w:pPr>
      <w:keepNext/>
      <w:overflowPunct/>
      <w:autoSpaceDE/>
      <w:autoSpaceDN/>
      <w:adjustRightInd/>
      <w:spacing w:before="360" w:after="120"/>
      <w:textAlignment w:val="auto"/>
    </w:pPr>
    <w:rPr>
      <w:rFonts w:ascii="Courier New" w:hAnsi="Courier New"/>
      <w:b/>
      <w:bCs/>
      <w:kern w:val="28"/>
      <w:sz w:val="24"/>
      <w:lang w:bidi="fa-IR"/>
    </w:rPr>
  </w:style>
  <w:style w:type="paragraph" w:customStyle="1" w:styleId="TableTitle">
    <w:name w:val="Table Title"/>
    <w:basedOn w:val="Normal"/>
    <w:semiHidden/>
    <w:rsid w:val="00261AD7"/>
    <w:pPr>
      <w:jc w:val="center"/>
    </w:pPr>
    <w:rPr>
      <w:smallCaps/>
      <w:sz w:val="16"/>
      <w:szCs w:val="16"/>
    </w:rPr>
  </w:style>
  <w:style w:type="paragraph" w:customStyle="1" w:styleId="Affiliations">
    <w:name w:val="Affiliations"/>
    <w:basedOn w:val="Normal"/>
    <w:autoRedefine/>
    <w:rsid w:val="00261AD7"/>
    <w:pPr>
      <w:framePr w:wrap="around" w:vAnchor="text" w:hAnchor="text" w:xAlign="center" w:y="1"/>
      <w:jc w:val="center"/>
    </w:pPr>
    <w:rPr>
      <w:sz w:val="12"/>
      <w:szCs w:val="16"/>
    </w:rPr>
  </w:style>
  <w:style w:type="numbering" w:styleId="111111">
    <w:name w:val="Outline List 2"/>
    <w:basedOn w:val="NoList"/>
    <w:semiHidden/>
    <w:rsid w:val="00261AD7"/>
    <w:pPr>
      <w:numPr>
        <w:numId w:val="18"/>
      </w:numPr>
    </w:pPr>
  </w:style>
  <w:style w:type="numbering" w:styleId="1ai">
    <w:name w:val="Outline List 1"/>
    <w:basedOn w:val="NoList"/>
    <w:semiHidden/>
    <w:rsid w:val="00261AD7"/>
    <w:pPr>
      <w:numPr>
        <w:numId w:val="19"/>
      </w:numPr>
    </w:pPr>
  </w:style>
  <w:style w:type="numbering" w:styleId="ArticleSection">
    <w:name w:val="Outline List 3"/>
    <w:basedOn w:val="NoList"/>
    <w:semiHidden/>
    <w:rsid w:val="00261AD7"/>
    <w:pPr>
      <w:numPr>
        <w:numId w:val="20"/>
      </w:numPr>
    </w:pPr>
  </w:style>
  <w:style w:type="paragraph" w:styleId="BlockText">
    <w:name w:val="Block Text"/>
    <w:basedOn w:val="Normal"/>
    <w:semiHidden/>
    <w:rsid w:val="00261AD7"/>
    <w:pPr>
      <w:spacing w:after="120"/>
      <w:ind w:left="1440" w:right="1440"/>
    </w:pPr>
  </w:style>
  <w:style w:type="paragraph" w:styleId="BodyText">
    <w:name w:val="Body Text"/>
    <w:basedOn w:val="Normal"/>
    <w:link w:val="BodyTextChar"/>
    <w:semiHidden/>
    <w:rsid w:val="00261AD7"/>
    <w:pPr>
      <w:spacing w:after="120"/>
    </w:pPr>
  </w:style>
  <w:style w:type="character" w:customStyle="1" w:styleId="BodyTextChar">
    <w:name w:val="Body Text Char"/>
    <w:basedOn w:val="DefaultParagraphFont"/>
    <w:link w:val="BodyText"/>
    <w:semiHidden/>
    <w:rsid w:val="00261AD7"/>
    <w:rPr>
      <w:rFonts w:ascii="Times New Roman" w:eastAsia="Times New Roman" w:hAnsi="Times New Roman" w:cs="B Nazanin"/>
      <w:sz w:val="20"/>
      <w:szCs w:val="24"/>
    </w:rPr>
  </w:style>
  <w:style w:type="paragraph" w:styleId="BodyText2">
    <w:name w:val="Body Text 2"/>
    <w:basedOn w:val="Normal"/>
    <w:link w:val="BodyText2Char"/>
    <w:semiHidden/>
    <w:rsid w:val="00261AD7"/>
    <w:pPr>
      <w:spacing w:after="120" w:line="480" w:lineRule="auto"/>
    </w:pPr>
  </w:style>
  <w:style w:type="character" w:customStyle="1" w:styleId="BodyText2Char">
    <w:name w:val="Body Text 2 Char"/>
    <w:basedOn w:val="DefaultParagraphFont"/>
    <w:link w:val="BodyText2"/>
    <w:semiHidden/>
    <w:rsid w:val="00261AD7"/>
    <w:rPr>
      <w:rFonts w:ascii="Times New Roman" w:eastAsia="Times New Roman" w:hAnsi="Times New Roman" w:cs="B Nazanin"/>
      <w:sz w:val="20"/>
      <w:szCs w:val="24"/>
    </w:rPr>
  </w:style>
  <w:style w:type="paragraph" w:styleId="BodyText3">
    <w:name w:val="Body Text 3"/>
    <w:basedOn w:val="Normal"/>
    <w:link w:val="BodyText3Char"/>
    <w:semiHidden/>
    <w:rsid w:val="00261AD7"/>
    <w:pPr>
      <w:spacing w:after="120"/>
    </w:pPr>
    <w:rPr>
      <w:sz w:val="16"/>
      <w:szCs w:val="16"/>
    </w:rPr>
  </w:style>
  <w:style w:type="character" w:customStyle="1" w:styleId="BodyText3Char">
    <w:name w:val="Body Text 3 Char"/>
    <w:basedOn w:val="DefaultParagraphFont"/>
    <w:link w:val="BodyText3"/>
    <w:semiHidden/>
    <w:rsid w:val="00261AD7"/>
    <w:rPr>
      <w:rFonts w:ascii="Times New Roman" w:eastAsia="Times New Roman" w:hAnsi="Times New Roman" w:cs="B Nazanin"/>
      <w:sz w:val="16"/>
      <w:szCs w:val="16"/>
    </w:rPr>
  </w:style>
  <w:style w:type="paragraph" w:styleId="BodyTextFirstIndent">
    <w:name w:val="Body Text First Indent"/>
    <w:basedOn w:val="BodyText"/>
    <w:link w:val="BodyTextFirstIndentChar"/>
    <w:semiHidden/>
    <w:rsid w:val="00261AD7"/>
    <w:pPr>
      <w:ind w:firstLine="210"/>
    </w:pPr>
  </w:style>
  <w:style w:type="character" w:customStyle="1" w:styleId="BodyTextFirstIndentChar">
    <w:name w:val="Body Text First Indent Char"/>
    <w:basedOn w:val="BodyTextChar"/>
    <w:link w:val="BodyTextFirstIndent"/>
    <w:semiHidden/>
    <w:rsid w:val="00261AD7"/>
    <w:rPr>
      <w:rFonts w:ascii="Times New Roman" w:eastAsia="Times New Roman" w:hAnsi="Times New Roman" w:cs="B Nazanin"/>
      <w:sz w:val="20"/>
      <w:szCs w:val="24"/>
    </w:rPr>
  </w:style>
  <w:style w:type="paragraph" w:styleId="BodyTextIndent">
    <w:name w:val="Body Text Indent"/>
    <w:basedOn w:val="Normal"/>
    <w:link w:val="BodyTextIndentChar"/>
    <w:semiHidden/>
    <w:rsid w:val="00261AD7"/>
    <w:pPr>
      <w:spacing w:after="120"/>
      <w:ind w:left="283"/>
    </w:pPr>
  </w:style>
  <w:style w:type="character" w:customStyle="1" w:styleId="BodyTextIndentChar">
    <w:name w:val="Body Text Indent Char"/>
    <w:basedOn w:val="DefaultParagraphFont"/>
    <w:link w:val="BodyTextIndent"/>
    <w:semiHidden/>
    <w:rsid w:val="00261AD7"/>
    <w:rPr>
      <w:rFonts w:ascii="Times New Roman" w:eastAsia="Times New Roman" w:hAnsi="Times New Roman" w:cs="B Nazanin"/>
      <w:sz w:val="20"/>
      <w:szCs w:val="24"/>
    </w:rPr>
  </w:style>
  <w:style w:type="paragraph" w:styleId="BodyTextFirstIndent2">
    <w:name w:val="Body Text First Indent 2"/>
    <w:basedOn w:val="BodyTextIndent"/>
    <w:link w:val="BodyTextFirstIndent2Char"/>
    <w:semiHidden/>
    <w:rsid w:val="00261AD7"/>
    <w:pPr>
      <w:ind w:firstLine="210"/>
    </w:pPr>
  </w:style>
  <w:style w:type="character" w:customStyle="1" w:styleId="BodyTextFirstIndent2Char">
    <w:name w:val="Body Text First Indent 2 Char"/>
    <w:basedOn w:val="BodyTextIndentChar"/>
    <w:link w:val="BodyTextFirstIndent2"/>
    <w:semiHidden/>
    <w:rsid w:val="00261AD7"/>
    <w:rPr>
      <w:rFonts w:ascii="Times New Roman" w:eastAsia="Times New Roman" w:hAnsi="Times New Roman" w:cs="B Nazanin"/>
      <w:sz w:val="20"/>
      <w:szCs w:val="24"/>
    </w:rPr>
  </w:style>
  <w:style w:type="paragraph" w:styleId="BodyTextIndent2">
    <w:name w:val="Body Text Indent 2"/>
    <w:basedOn w:val="Normal"/>
    <w:link w:val="BodyTextIndent2Char"/>
    <w:semiHidden/>
    <w:rsid w:val="00261AD7"/>
    <w:pPr>
      <w:spacing w:after="120" w:line="480" w:lineRule="auto"/>
      <w:ind w:left="283"/>
    </w:pPr>
  </w:style>
  <w:style w:type="character" w:customStyle="1" w:styleId="BodyTextIndent2Char">
    <w:name w:val="Body Text Indent 2 Char"/>
    <w:basedOn w:val="DefaultParagraphFont"/>
    <w:link w:val="BodyTextIndent2"/>
    <w:semiHidden/>
    <w:rsid w:val="00261AD7"/>
    <w:rPr>
      <w:rFonts w:ascii="Times New Roman" w:eastAsia="Times New Roman" w:hAnsi="Times New Roman" w:cs="B Nazanin"/>
      <w:sz w:val="20"/>
      <w:szCs w:val="24"/>
    </w:rPr>
  </w:style>
  <w:style w:type="paragraph" w:styleId="BodyTextIndent3">
    <w:name w:val="Body Text Indent 3"/>
    <w:basedOn w:val="Normal"/>
    <w:link w:val="BodyTextIndent3Char"/>
    <w:semiHidden/>
    <w:rsid w:val="00261AD7"/>
    <w:pPr>
      <w:spacing w:after="120"/>
      <w:ind w:left="283"/>
    </w:pPr>
    <w:rPr>
      <w:sz w:val="16"/>
      <w:szCs w:val="16"/>
    </w:rPr>
  </w:style>
  <w:style w:type="character" w:customStyle="1" w:styleId="BodyTextIndent3Char">
    <w:name w:val="Body Text Indent 3 Char"/>
    <w:basedOn w:val="DefaultParagraphFont"/>
    <w:link w:val="BodyTextIndent3"/>
    <w:semiHidden/>
    <w:rsid w:val="00261AD7"/>
    <w:rPr>
      <w:rFonts w:ascii="Times New Roman" w:eastAsia="Times New Roman" w:hAnsi="Times New Roman" w:cs="B Nazanin"/>
      <w:sz w:val="16"/>
      <w:szCs w:val="16"/>
    </w:rPr>
  </w:style>
  <w:style w:type="paragraph" w:styleId="Caption">
    <w:name w:val="caption"/>
    <w:next w:val="FigurePosition"/>
    <w:autoRedefine/>
    <w:qFormat/>
    <w:rsid w:val="0094001F"/>
    <w:pPr>
      <w:bidi/>
      <w:spacing w:after="240" w:line="240" w:lineRule="auto"/>
      <w:jc w:val="center"/>
    </w:pPr>
    <w:rPr>
      <w:rFonts w:ascii="Times New Roman" w:eastAsia="Times New Roman" w:hAnsi="Times New Roman" w:cs="B Nazanin"/>
      <w:sz w:val="14"/>
      <w:szCs w:val="18"/>
    </w:rPr>
  </w:style>
  <w:style w:type="paragraph" w:styleId="Closing">
    <w:name w:val="Closing"/>
    <w:basedOn w:val="Normal"/>
    <w:link w:val="ClosingChar"/>
    <w:semiHidden/>
    <w:rsid w:val="00261AD7"/>
    <w:pPr>
      <w:ind w:left="4252"/>
    </w:pPr>
  </w:style>
  <w:style w:type="character" w:customStyle="1" w:styleId="ClosingChar">
    <w:name w:val="Closing Char"/>
    <w:basedOn w:val="DefaultParagraphFont"/>
    <w:link w:val="Closing"/>
    <w:semiHidden/>
    <w:rsid w:val="00261AD7"/>
    <w:rPr>
      <w:rFonts w:ascii="Times New Roman" w:eastAsia="Times New Roman" w:hAnsi="Times New Roman" w:cs="B Nazanin"/>
      <w:sz w:val="20"/>
      <w:szCs w:val="24"/>
    </w:rPr>
  </w:style>
  <w:style w:type="paragraph" w:styleId="Date">
    <w:name w:val="Date"/>
    <w:basedOn w:val="Normal"/>
    <w:next w:val="Normal"/>
    <w:link w:val="DateChar"/>
    <w:semiHidden/>
    <w:rsid w:val="00261AD7"/>
  </w:style>
  <w:style w:type="character" w:customStyle="1" w:styleId="DateChar">
    <w:name w:val="Date Char"/>
    <w:basedOn w:val="DefaultParagraphFont"/>
    <w:link w:val="Date"/>
    <w:semiHidden/>
    <w:rsid w:val="00261AD7"/>
    <w:rPr>
      <w:rFonts w:ascii="Times New Roman" w:eastAsia="Times New Roman" w:hAnsi="Times New Roman" w:cs="B Nazanin"/>
      <w:sz w:val="20"/>
      <w:szCs w:val="24"/>
    </w:rPr>
  </w:style>
  <w:style w:type="character" w:styleId="Emphasis">
    <w:name w:val="Emphasis"/>
    <w:qFormat/>
    <w:rsid w:val="00261AD7"/>
    <w:rPr>
      <w:i/>
      <w:iCs/>
    </w:rPr>
  </w:style>
  <w:style w:type="character" w:styleId="EndnoteReference">
    <w:name w:val="endnote reference"/>
    <w:rsid w:val="00261AD7"/>
    <w:rPr>
      <w:vertAlign w:val="superscript"/>
    </w:rPr>
  </w:style>
  <w:style w:type="paragraph" w:styleId="EndnoteText">
    <w:name w:val="endnote text"/>
    <w:basedOn w:val="Normal"/>
    <w:link w:val="EndnoteTextChar"/>
    <w:rsid w:val="00261AD7"/>
    <w:rPr>
      <w:szCs w:val="20"/>
    </w:rPr>
  </w:style>
  <w:style w:type="character" w:customStyle="1" w:styleId="EndnoteTextChar">
    <w:name w:val="Endnote Text Char"/>
    <w:basedOn w:val="DefaultParagraphFont"/>
    <w:link w:val="EndnoteText"/>
    <w:rsid w:val="00261AD7"/>
    <w:rPr>
      <w:rFonts w:ascii="Times New Roman" w:eastAsia="Times New Roman" w:hAnsi="Times New Roman" w:cs="B Nazanin"/>
      <w:sz w:val="20"/>
      <w:szCs w:val="20"/>
    </w:rPr>
  </w:style>
  <w:style w:type="paragraph" w:styleId="EnvelopeAddress">
    <w:name w:val="envelope address"/>
    <w:basedOn w:val="Normal"/>
    <w:semiHidden/>
    <w:rsid w:val="00261AD7"/>
    <w:pPr>
      <w:framePr w:w="7920" w:h="1980" w:hRule="exact" w:hSpace="180" w:wrap="auto" w:hAnchor="page" w:xAlign="center" w:yAlign="bottom"/>
      <w:ind w:left="2880"/>
    </w:pPr>
    <w:rPr>
      <w:rFonts w:ascii="Arial" w:hAnsi="Arial" w:cs="Arial"/>
      <w:sz w:val="24"/>
    </w:rPr>
  </w:style>
  <w:style w:type="paragraph" w:styleId="EnvelopeReturn">
    <w:name w:val="envelope return"/>
    <w:basedOn w:val="Normal"/>
    <w:semiHidden/>
    <w:rsid w:val="00261AD7"/>
    <w:rPr>
      <w:rFonts w:ascii="Arial" w:hAnsi="Arial" w:cs="Arial"/>
      <w:szCs w:val="20"/>
    </w:rPr>
  </w:style>
  <w:style w:type="character" w:styleId="HTMLAcronym">
    <w:name w:val="HTML Acronym"/>
    <w:basedOn w:val="DefaultParagraphFont"/>
    <w:semiHidden/>
    <w:rsid w:val="00261AD7"/>
  </w:style>
  <w:style w:type="paragraph" w:styleId="HTMLAddress">
    <w:name w:val="HTML Address"/>
    <w:basedOn w:val="Normal"/>
    <w:link w:val="HTMLAddressChar"/>
    <w:semiHidden/>
    <w:rsid w:val="00261AD7"/>
    <w:rPr>
      <w:i/>
      <w:iCs/>
    </w:rPr>
  </w:style>
  <w:style w:type="character" w:customStyle="1" w:styleId="HTMLAddressChar">
    <w:name w:val="HTML Address Char"/>
    <w:basedOn w:val="DefaultParagraphFont"/>
    <w:link w:val="HTMLAddress"/>
    <w:semiHidden/>
    <w:rsid w:val="00261AD7"/>
    <w:rPr>
      <w:rFonts w:ascii="Times New Roman" w:eastAsia="Times New Roman" w:hAnsi="Times New Roman" w:cs="B Nazanin"/>
      <w:i/>
      <w:iCs/>
      <w:sz w:val="20"/>
      <w:szCs w:val="24"/>
    </w:rPr>
  </w:style>
  <w:style w:type="character" w:styleId="HTMLCite">
    <w:name w:val="HTML Cite"/>
    <w:semiHidden/>
    <w:rsid w:val="00261AD7"/>
    <w:rPr>
      <w:i/>
      <w:iCs/>
    </w:rPr>
  </w:style>
  <w:style w:type="character" w:styleId="HTMLCode">
    <w:name w:val="HTML Code"/>
    <w:semiHidden/>
    <w:rsid w:val="00261AD7"/>
    <w:rPr>
      <w:rFonts w:ascii="Courier New" w:hAnsi="Courier New" w:cs="Courier New"/>
      <w:sz w:val="20"/>
      <w:szCs w:val="20"/>
    </w:rPr>
  </w:style>
  <w:style w:type="character" w:styleId="HTMLDefinition">
    <w:name w:val="HTML Definition"/>
    <w:semiHidden/>
    <w:rsid w:val="00261AD7"/>
    <w:rPr>
      <w:i/>
      <w:iCs/>
    </w:rPr>
  </w:style>
  <w:style w:type="character" w:styleId="HTMLKeyboard">
    <w:name w:val="HTML Keyboard"/>
    <w:semiHidden/>
    <w:rsid w:val="00261AD7"/>
    <w:rPr>
      <w:rFonts w:ascii="Courier New" w:hAnsi="Courier New" w:cs="Courier New"/>
      <w:sz w:val="20"/>
      <w:szCs w:val="20"/>
    </w:rPr>
  </w:style>
  <w:style w:type="paragraph" w:styleId="HTMLPreformatted">
    <w:name w:val="HTML Preformatted"/>
    <w:basedOn w:val="Normal"/>
    <w:link w:val="HTMLPreformattedChar"/>
    <w:semiHidden/>
    <w:rsid w:val="00261AD7"/>
    <w:rPr>
      <w:rFonts w:ascii="Courier New" w:hAnsi="Courier New" w:cs="Courier New"/>
      <w:szCs w:val="20"/>
    </w:rPr>
  </w:style>
  <w:style w:type="character" w:customStyle="1" w:styleId="HTMLPreformattedChar">
    <w:name w:val="HTML Preformatted Char"/>
    <w:basedOn w:val="DefaultParagraphFont"/>
    <w:link w:val="HTMLPreformatted"/>
    <w:semiHidden/>
    <w:rsid w:val="00261AD7"/>
    <w:rPr>
      <w:rFonts w:ascii="Courier New" w:eastAsia="Times New Roman" w:hAnsi="Courier New" w:cs="Courier New"/>
      <w:sz w:val="20"/>
      <w:szCs w:val="20"/>
    </w:rPr>
  </w:style>
  <w:style w:type="character" w:styleId="HTMLSample">
    <w:name w:val="HTML Sample"/>
    <w:semiHidden/>
    <w:rsid w:val="00261AD7"/>
    <w:rPr>
      <w:rFonts w:ascii="Courier New" w:hAnsi="Courier New" w:cs="Courier New"/>
    </w:rPr>
  </w:style>
  <w:style w:type="character" w:styleId="HTMLTypewriter">
    <w:name w:val="HTML Typewriter"/>
    <w:semiHidden/>
    <w:rsid w:val="00261AD7"/>
    <w:rPr>
      <w:rFonts w:ascii="Courier New" w:hAnsi="Courier New" w:cs="Courier New"/>
      <w:sz w:val="20"/>
      <w:szCs w:val="20"/>
    </w:rPr>
  </w:style>
  <w:style w:type="character" w:styleId="HTMLVariable">
    <w:name w:val="HTML Variable"/>
    <w:semiHidden/>
    <w:rsid w:val="00261AD7"/>
    <w:rPr>
      <w:i/>
      <w:iCs/>
    </w:rPr>
  </w:style>
  <w:style w:type="character" w:styleId="LineNumber">
    <w:name w:val="line number"/>
    <w:basedOn w:val="DefaultParagraphFont"/>
    <w:semiHidden/>
    <w:rsid w:val="00261AD7"/>
  </w:style>
  <w:style w:type="paragraph" w:styleId="List">
    <w:name w:val="List"/>
    <w:basedOn w:val="Normal"/>
    <w:semiHidden/>
    <w:rsid w:val="00261AD7"/>
    <w:pPr>
      <w:ind w:left="283" w:hanging="283"/>
    </w:pPr>
  </w:style>
  <w:style w:type="paragraph" w:styleId="List2">
    <w:name w:val="List 2"/>
    <w:basedOn w:val="Normal"/>
    <w:semiHidden/>
    <w:rsid w:val="00261AD7"/>
    <w:pPr>
      <w:ind w:left="566" w:hanging="283"/>
    </w:pPr>
  </w:style>
  <w:style w:type="paragraph" w:styleId="List3">
    <w:name w:val="List 3"/>
    <w:basedOn w:val="Normal"/>
    <w:semiHidden/>
    <w:rsid w:val="00261AD7"/>
    <w:pPr>
      <w:ind w:left="849" w:hanging="283"/>
    </w:pPr>
  </w:style>
  <w:style w:type="paragraph" w:styleId="List4">
    <w:name w:val="List 4"/>
    <w:basedOn w:val="Normal"/>
    <w:semiHidden/>
    <w:rsid w:val="00261AD7"/>
    <w:pPr>
      <w:ind w:left="1132" w:hanging="283"/>
    </w:pPr>
  </w:style>
  <w:style w:type="paragraph" w:styleId="List5">
    <w:name w:val="List 5"/>
    <w:basedOn w:val="Normal"/>
    <w:semiHidden/>
    <w:rsid w:val="00261AD7"/>
    <w:pPr>
      <w:ind w:left="1415" w:hanging="283"/>
    </w:pPr>
  </w:style>
  <w:style w:type="paragraph" w:styleId="ListBullet">
    <w:name w:val="List Bullet"/>
    <w:basedOn w:val="Normal"/>
    <w:semiHidden/>
    <w:rsid w:val="00261AD7"/>
    <w:pPr>
      <w:numPr>
        <w:numId w:val="21"/>
      </w:numPr>
    </w:pPr>
  </w:style>
  <w:style w:type="paragraph" w:styleId="ListBullet2">
    <w:name w:val="List Bullet 2"/>
    <w:basedOn w:val="Normal"/>
    <w:semiHidden/>
    <w:rsid w:val="00261AD7"/>
    <w:pPr>
      <w:numPr>
        <w:numId w:val="22"/>
      </w:numPr>
    </w:pPr>
  </w:style>
  <w:style w:type="paragraph" w:styleId="ListBullet3">
    <w:name w:val="List Bullet 3"/>
    <w:basedOn w:val="Normal"/>
    <w:semiHidden/>
    <w:rsid w:val="00261AD7"/>
    <w:pPr>
      <w:numPr>
        <w:numId w:val="23"/>
      </w:numPr>
    </w:pPr>
  </w:style>
  <w:style w:type="paragraph" w:styleId="ListBullet4">
    <w:name w:val="List Bullet 4"/>
    <w:basedOn w:val="Normal"/>
    <w:semiHidden/>
    <w:rsid w:val="00261AD7"/>
    <w:pPr>
      <w:numPr>
        <w:numId w:val="24"/>
      </w:numPr>
    </w:pPr>
  </w:style>
  <w:style w:type="paragraph" w:styleId="ListBullet5">
    <w:name w:val="List Bullet 5"/>
    <w:basedOn w:val="Normal"/>
    <w:semiHidden/>
    <w:rsid w:val="00261AD7"/>
    <w:pPr>
      <w:numPr>
        <w:numId w:val="25"/>
      </w:numPr>
    </w:pPr>
  </w:style>
  <w:style w:type="paragraph" w:styleId="ListContinue">
    <w:name w:val="List Continue"/>
    <w:basedOn w:val="Normal"/>
    <w:semiHidden/>
    <w:rsid w:val="00261AD7"/>
    <w:pPr>
      <w:spacing w:after="120"/>
      <w:ind w:left="283"/>
    </w:pPr>
  </w:style>
  <w:style w:type="paragraph" w:styleId="ListContinue2">
    <w:name w:val="List Continue 2"/>
    <w:basedOn w:val="Normal"/>
    <w:semiHidden/>
    <w:rsid w:val="00261AD7"/>
    <w:pPr>
      <w:spacing w:after="120"/>
      <w:ind w:left="566"/>
    </w:pPr>
  </w:style>
  <w:style w:type="paragraph" w:styleId="ListContinue3">
    <w:name w:val="List Continue 3"/>
    <w:basedOn w:val="Normal"/>
    <w:semiHidden/>
    <w:rsid w:val="00261AD7"/>
    <w:pPr>
      <w:spacing w:after="120"/>
      <w:ind w:left="849"/>
    </w:pPr>
  </w:style>
  <w:style w:type="paragraph" w:styleId="ListContinue4">
    <w:name w:val="List Continue 4"/>
    <w:basedOn w:val="Normal"/>
    <w:semiHidden/>
    <w:rsid w:val="00261AD7"/>
    <w:pPr>
      <w:spacing w:after="120"/>
      <w:ind w:left="1132"/>
    </w:pPr>
  </w:style>
  <w:style w:type="paragraph" w:styleId="ListContinue5">
    <w:name w:val="List Continue 5"/>
    <w:basedOn w:val="Normal"/>
    <w:semiHidden/>
    <w:rsid w:val="00261AD7"/>
    <w:pPr>
      <w:spacing w:after="120"/>
      <w:ind w:left="1415"/>
    </w:pPr>
  </w:style>
  <w:style w:type="paragraph" w:styleId="ListNumber">
    <w:name w:val="List Number"/>
    <w:basedOn w:val="Normal"/>
    <w:semiHidden/>
    <w:rsid w:val="00261AD7"/>
    <w:pPr>
      <w:numPr>
        <w:numId w:val="26"/>
      </w:numPr>
    </w:pPr>
  </w:style>
  <w:style w:type="paragraph" w:styleId="ListNumber2">
    <w:name w:val="List Number 2"/>
    <w:basedOn w:val="Normal"/>
    <w:semiHidden/>
    <w:rsid w:val="00261AD7"/>
    <w:pPr>
      <w:numPr>
        <w:numId w:val="27"/>
      </w:numPr>
    </w:pPr>
  </w:style>
  <w:style w:type="paragraph" w:styleId="ListNumber3">
    <w:name w:val="List Number 3"/>
    <w:basedOn w:val="Normal"/>
    <w:semiHidden/>
    <w:rsid w:val="00261AD7"/>
    <w:pPr>
      <w:numPr>
        <w:numId w:val="28"/>
      </w:numPr>
    </w:pPr>
  </w:style>
  <w:style w:type="paragraph" w:styleId="ListNumber4">
    <w:name w:val="List Number 4"/>
    <w:basedOn w:val="Normal"/>
    <w:semiHidden/>
    <w:rsid w:val="00261AD7"/>
    <w:pPr>
      <w:numPr>
        <w:numId w:val="29"/>
      </w:numPr>
    </w:pPr>
  </w:style>
  <w:style w:type="paragraph" w:styleId="ListNumber5">
    <w:name w:val="List Number 5"/>
    <w:basedOn w:val="Normal"/>
    <w:semiHidden/>
    <w:rsid w:val="00261AD7"/>
    <w:pPr>
      <w:numPr>
        <w:numId w:val="30"/>
      </w:numPr>
    </w:pPr>
  </w:style>
  <w:style w:type="paragraph" w:styleId="MessageHeader">
    <w:name w:val="Message Header"/>
    <w:basedOn w:val="Normal"/>
    <w:link w:val="MessageHeaderChar"/>
    <w:semiHidden/>
    <w:rsid w:val="00261AD7"/>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rPr>
  </w:style>
  <w:style w:type="character" w:customStyle="1" w:styleId="MessageHeaderChar">
    <w:name w:val="Message Header Char"/>
    <w:basedOn w:val="DefaultParagraphFont"/>
    <w:link w:val="MessageHeader"/>
    <w:semiHidden/>
    <w:rsid w:val="00261AD7"/>
    <w:rPr>
      <w:rFonts w:ascii="Arial" w:eastAsia="Times New Roman" w:hAnsi="Arial" w:cs="Arial"/>
      <w:sz w:val="24"/>
      <w:szCs w:val="24"/>
      <w:shd w:val="pct20" w:color="auto" w:fill="auto"/>
    </w:rPr>
  </w:style>
  <w:style w:type="paragraph" w:styleId="NormalWeb">
    <w:name w:val="Normal (Web)"/>
    <w:basedOn w:val="Normal"/>
    <w:semiHidden/>
    <w:rsid w:val="00261AD7"/>
    <w:rPr>
      <w:rFonts w:cs="Times New Roman"/>
      <w:sz w:val="24"/>
    </w:rPr>
  </w:style>
  <w:style w:type="paragraph" w:styleId="NormalIndent">
    <w:name w:val="Normal Indent"/>
    <w:basedOn w:val="Normal"/>
    <w:semiHidden/>
    <w:rsid w:val="00261AD7"/>
    <w:pPr>
      <w:ind w:left="720"/>
    </w:pPr>
  </w:style>
  <w:style w:type="paragraph" w:styleId="NoteHeading">
    <w:name w:val="Note Heading"/>
    <w:basedOn w:val="Normal"/>
    <w:next w:val="Normal"/>
    <w:link w:val="NoteHeadingChar"/>
    <w:semiHidden/>
    <w:rsid w:val="00261AD7"/>
  </w:style>
  <w:style w:type="character" w:customStyle="1" w:styleId="NoteHeadingChar">
    <w:name w:val="Note Heading Char"/>
    <w:basedOn w:val="DefaultParagraphFont"/>
    <w:link w:val="NoteHeading"/>
    <w:semiHidden/>
    <w:rsid w:val="00261AD7"/>
    <w:rPr>
      <w:rFonts w:ascii="Times New Roman" w:eastAsia="Times New Roman" w:hAnsi="Times New Roman" w:cs="B Nazanin"/>
      <w:sz w:val="20"/>
      <w:szCs w:val="24"/>
    </w:rPr>
  </w:style>
  <w:style w:type="paragraph" w:styleId="Salutation">
    <w:name w:val="Salutation"/>
    <w:basedOn w:val="Normal"/>
    <w:next w:val="Normal"/>
    <w:link w:val="SalutationChar"/>
    <w:semiHidden/>
    <w:rsid w:val="00261AD7"/>
  </w:style>
  <w:style w:type="character" w:customStyle="1" w:styleId="SalutationChar">
    <w:name w:val="Salutation Char"/>
    <w:basedOn w:val="DefaultParagraphFont"/>
    <w:link w:val="Salutation"/>
    <w:semiHidden/>
    <w:rsid w:val="00261AD7"/>
    <w:rPr>
      <w:rFonts w:ascii="Times New Roman" w:eastAsia="Times New Roman" w:hAnsi="Times New Roman" w:cs="B Nazanin"/>
      <w:sz w:val="20"/>
      <w:szCs w:val="24"/>
    </w:rPr>
  </w:style>
  <w:style w:type="paragraph" w:styleId="Signature">
    <w:name w:val="Signature"/>
    <w:basedOn w:val="Normal"/>
    <w:link w:val="SignatureChar"/>
    <w:semiHidden/>
    <w:rsid w:val="00261AD7"/>
    <w:pPr>
      <w:ind w:left="4252"/>
    </w:pPr>
  </w:style>
  <w:style w:type="character" w:customStyle="1" w:styleId="SignatureChar">
    <w:name w:val="Signature Char"/>
    <w:basedOn w:val="DefaultParagraphFont"/>
    <w:link w:val="Signature"/>
    <w:semiHidden/>
    <w:rsid w:val="00261AD7"/>
    <w:rPr>
      <w:rFonts w:ascii="Times New Roman" w:eastAsia="Times New Roman" w:hAnsi="Times New Roman" w:cs="B Nazanin"/>
      <w:sz w:val="20"/>
      <w:szCs w:val="24"/>
    </w:rPr>
  </w:style>
  <w:style w:type="character" w:styleId="Strong">
    <w:name w:val="Strong"/>
    <w:qFormat/>
    <w:rsid w:val="00261AD7"/>
    <w:rPr>
      <w:b/>
      <w:bCs/>
    </w:rPr>
  </w:style>
  <w:style w:type="table" w:styleId="Table3Deffects1">
    <w:name w:val="Table 3D effects 1"/>
    <w:basedOn w:val="TableNormal"/>
    <w:semiHidden/>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261AD7"/>
    <w:pPr>
      <w:overflowPunct w:val="0"/>
      <w:autoSpaceDE w:val="0"/>
      <w:autoSpaceDN w:val="0"/>
      <w:bidi/>
      <w:adjustRightInd w:val="0"/>
      <w:spacing w:after="0" w:line="240" w:lineRule="auto"/>
      <w:jc w:val="both"/>
      <w:textAlignment w:val="baseline"/>
    </w:pPr>
    <w:rPr>
      <w:rFonts w:ascii="Times New Roman" w:eastAsia="Times New Roman" w:hAnsi="Times New Roman" w:cs="Traditional Arabic"/>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Subtitle">
    <w:name w:val="Subtitle"/>
    <w:basedOn w:val="Normal"/>
    <w:link w:val="SubtitleChar"/>
    <w:qFormat/>
    <w:rsid w:val="00261AD7"/>
    <w:pPr>
      <w:spacing w:after="60"/>
      <w:jc w:val="center"/>
      <w:outlineLvl w:val="1"/>
    </w:pPr>
    <w:rPr>
      <w:rFonts w:ascii="Arial" w:hAnsi="Arial" w:cs="Arial"/>
      <w:sz w:val="24"/>
    </w:rPr>
  </w:style>
  <w:style w:type="character" w:customStyle="1" w:styleId="SubtitleChar">
    <w:name w:val="Subtitle Char"/>
    <w:basedOn w:val="DefaultParagraphFont"/>
    <w:link w:val="Subtitle"/>
    <w:rsid w:val="00261AD7"/>
    <w:rPr>
      <w:rFonts w:ascii="Arial" w:eastAsia="Times New Roman" w:hAnsi="Arial" w:cs="Arial"/>
      <w:sz w:val="24"/>
      <w:szCs w:val="24"/>
    </w:rPr>
  </w:style>
  <w:style w:type="paragraph" w:customStyle="1" w:styleId="CaptionC">
    <w:name w:val="Caption(C)"/>
    <w:basedOn w:val="Caption"/>
    <w:autoRedefine/>
    <w:rsid w:val="00261AD7"/>
  </w:style>
  <w:style w:type="paragraph" w:customStyle="1" w:styleId="CaptionFramed">
    <w:name w:val="Caption(Framed)"/>
    <w:basedOn w:val="CaptionC"/>
    <w:autoRedefine/>
    <w:rsid w:val="00261AD7"/>
    <w:pPr>
      <w:framePr w:wrap="around" w:vAnchor="text" w:hAnchor="margin" w:xAlign="center" w:y="1"/>
    </w:pPr>
    <w:rPr>
      <w:lang w:bidi="fa-IR"/>
    </w:rPr>
  </w:style>
  <w:style w:type="paragraph" w:customStyle="1" w:styleId="ReferencesFarsi">
    <w:name w:val="ReferencesFarsi"/>
    <w:basedOn w:val="References"/>
    <w:rsid w:val="00261AD7"/>
  </w:style>
  <w:style w:type="paragraph" w:customStyle="1" w:styleId="FramedFigure">
    <w:name w:val="Framed Figure"/>
    <w:basedOn w:val="FigurePosition"/>
    <w:autoRedefine/>
    <w:rsid w:val="00261AD7"/>
    <w:pPr>
      <w:framePr w:w="7052" w:wrap="around" w:hAnchor="page" w:x="2422" w:yAlign="top"/>
    </w:pPr>
    <w:rPr>
      <w:lang w:bidi="fa-IR"/>
    </w:rPr>
  </w:style>
  <w:style w:type="paragraph" w:customStyle="1" w:styleId="ReferencesFarsi0">
    <w:name w:val="References(Farsi)"/>
    <w:basedOn w:val="ReferencesFarsi"/>
    <w:rsid w:val="00261AD7"/>
    <w:pPr>
      <w:bidi/>
    </w:pPr>
  </w:style>
  <w:style w:type="paragraph" w:customStyle="1" w:styleId="AbstractEnglish">
    <w:name w:val="Abstract(English)"/>
    <w:basedOn w:val="Abstract"/>
    <w:autoRedefine/>
    <w:rsid w:val="00261AD7"/>
  </w:style>
  <w:style w:type="paragraph" w:customStyle="1" w:styleId="TitleEnglish">
    <w:name w:val="Title(English)"/>
    <w:basedOn w:val="Title"/>
    <w:autoRedefine/>
    <w:rsid w:val="00261AD7"/>
    <w:pPr>
      <w:bidi w:val="0"/>
    </w:pPr>
  </w:style>
  <w:style w:type="paragraph" w:customStyle="1" w:styleId="AuthorsEnglish">
    <w:name w:val="Authors( English)"/>
    <w:basedOn w:val="Authors"/>
    <w:next w:val="AbstractEnglish"/>
    <w:autoRedefine/>
    <w:rsid w:val="00261AD7"/>
    <w:pPr>
      <w:framePr w:wrap="auto" w:vAnchor="margin" w:xAlign="left" w:yAlign="inline"/>
      <w:bidi w:val="0"/>
    </w:pPr>
  </w:style>
  <w:style w:type="paragraph" w:customStyle="1" w:styleId="AffiliationsEnglish">
    <w:name w:val="Affiliations(English)"/>
    <w:basedOn w:val="Affiliations"/>
    <w:autoRedefine/>
    <w:rsid w:val="00261AD7"/>
    <w:pPr>
      <w:framePr w:wrap="auto" w:vAnchor="margin" w:xAlign="left" w:yAlign="inline"/>
      <w:bidi w:val="0"/>
    </w:pPr>
    <w:rPr>
      <w:lang w:bidi="fa-IR"/>
    </w:rPr>
  </w:style>
  <w:style w:type="paragraph" w:customStyle="1" w:styleId="AuthorsEnglisht">
    <w:name w:val="Authors( English)t"/>
    <w:basedOn w:val="AuthorsEnglish"/>
    <w:rsid w:val="00261AD7"/>
    <w:rPr>
      <w:szCs w:val="20"/>
    </w:rPr>
  </w:style>
  <w:style w:type="character" w:customStyle="1" w:styleId="ParagraphChar">
    <w:name w:val="Paragraph Char"/>
    <w:link w:val="Paragraph"/>
    <w:rsid w:val="00261AD7"/>
    <w:rPr>
      <w:rFonts w:ascii="Times New Roman" w:eastAsia="Times New Roman" w:hAnsi="Times New Roman" w:cs="B Nazanin"/>
      <w:sz w:val="20"/>
      <w:szCs w:val="24"/>
      <w:lang w:bidi="fa-IR"/>
    </w:rPr>
  </w:style>
  <w:style w:type="paragraph" w:styleId="BalloonText">
    <w:name w:val="Balloon Text"/>
    <w:basedOn w:val="Normal"/>
    <w:link w:val="BalloonTextChar"/>
    <w:rsid w:val="00261AD7"/>
    <w:rPr>
      <w:rFonts w:ascii="Tahoma" w:hAnsi="Tahoma" w:cs="Tahoma"/>
      <w:sz w:val="16"/>
      <w:szCs w:val="16"/>
    </w:rPr>
  </w:style>
  <w:style w:type="character" w:customStyle="1" w:styleId="BalloonTextChar">
    <w:name w:val="Balloon Text Char"/>
    <w:basedOn w:val="DefaultParagraphFont"/>
    <w:link w:val="BalloonText"/>
    <w:rsid w:val="00261AD7"/>
    <w:rPr>
      <w:rFonts w:ascii="Tahoma" w:eastAsia="Times New Roman" w:hAnsi="Tahoma" w:cs="Tahoma"/>
      <w:sz w:val="16"/>
      <w:szCs w:val="16"/>
    </w:rPr>
  </w:style>
  <w:style w:type="paragraph" w:styleId="ListParagraph">
    <w:name w:val="List Paragraph"/>
    <w:basedOn w:val="Normal"/>
    <w:uiPriority w:val="34"/>
    <w:qFormat/>
    <w:rsid w:val="00261AD7"/>
    <w:pPr>
      <w:ind w:left="720"/>
      <w:contextualSpacing/>
    </w:pPr>
  </w:style>
  <w:style w:type="character" w:styleId="PlaceholderText">
    <w:name w:val="Placeholder Text"/>
    <w:basedOn w:val="DefaultParagraphFont"/>
    <w:uiPriority w:val="99"/>
    <w:semiHidden/>
    <w:rsid w:val="00CE150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3952B8-43EE-4107-815E-7977068DC4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2481</Words>
  <Characters>14146</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اندازه‌گیری تفسیرپذیر و خودکار آنتی‌بایوگرام دیسک-دیفیوژن از تصاویر تلفن همراه با بینایی ماشین کلاسیک</vt:lpstr>
    </vt:vector>
  </TitlesOfParts>
  <Company/>
  <LinksUpToDate>false</LinksUpToDate>
  <CharactersWithSpaces>16594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اندازه‌گیری تفسیرپذیر و خودکار آنتی‌بایوگرام دیسک-دیفیوژن از تصاویر تلفن همراه با بینایی ماشین کلاسیک</dc:title>
  <dc:subject/>
  <dc:creator/>
  <cp:keywords/>
  <dc:description/>
  <cp:lastModifiedBy>Mahyar Haddadha</cp:lastModifiedBy>
  <cp:revision>2</cp:revision>
  <dcterms:created xsi:type="dcterms:W3CDTF">2024-07-17T18:39:00Z</dcterms:created>
  <dcterms:modified xsi:type="dcterms:W3CDTF">2026-09-01T18:31:00Z</dcterms:modified>
</cp:coreProperties>
</file>