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251F" w14:textId="1805B154" w:rsidR="00B8607D" w:rsidRDefault="000F7D84" w:rsidP="000F7D84">
      <w:pPr>
        <w:jc w:val="both"/>
        <w:rPr>
          <w:rFonts w:ascii="Arial" w:hAnsi="Arial" w:cs="Arial"/>
        </w:rPr>
      </w:pPr>
      <w:r w:rsidRPr="000F7D84">
        <w:rPr>
          <w:rFonts w:ascii="Arial" w:hAnsi="Arial" w:cs="Arial"/>
        </w:rPr>
        <w:drawing>
          <wp:inline distT="0" distB="0" distL="0" distR="0" wp14:anchorId="2D70B1E4" wp14:editId="467CCFC1">
            <wp:extent cx="5400040" cy="3182620"/>
            <wp:effectExtent l="0" t="0" r="0" b="0"/>
            <wp:docPr id="384752501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2501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8006" w14:textId="6623694A" w:rsidR="000F7D84" w:rsidRDefault="000F7D84" w:rsidP="000F7D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PIB per cápita promedio (expresado en mil</w:t>
      </w:r>
      <w:r w:rsidR="00600DEF">
        <w:rPr>
          <w:rFonts w:ascii="Arial" w:hAnsi="Arial" w:cs="Arial"/>
        </w:rPr>
        <w:t>es</w:t>
      </w:r>
      <w:r>
        <w:rPr>
          <w:rFonts w:ascii="Arial" w:hAnsi="Arial" w:cs="Arial"/>
        </w:rPr>
        <w:t xml:space="preserve"> de dólares estadounidenses) en los últimos 10 años de Corea del Sur (barra azul) </w:t>
      </w:r>
      <w:r w:rsidR="00600DEF">
        <w:rPr>
          <w:rFonts w:ascii="Arial" w:hAnsi="Arial" w:cs="Arial"/>
        </w:rPr>
        <w:t>y de</w:t>
      </w:r>
      <w:r>
        <w:rPr>
          <w:rFonts w:ascii="Arial" w:hAnsi="Arial" w:cs="Arial"/>
        </w:rPr>
        <w:t xml:space="preserve"> Nigeria (barra verde).</w:t>
      </w:r>
    </w:p>
    <w:p w14:paraId="1A2B5D4A" w14:textId="2B6603C6" w:rsidR="000F7D84" w:rsidRDefault="000F7D84" w:rsidP="000F7D84">
      <w:pPr>
        <w:jc w:val="both"/>
        <w:rPr>
          <w:rFonts w:ascii="Arial" w:hAnsi="Arial" w:cs="Arial"/>
        </w:rPr>
      </w:pPr>
      <w:r w:rsidRPr="000F7D84">
        <w:rPr>
          <w:rFonts w:ascii="Arial" w:hAnsi="Arial" w:cs="Arial"/>
        </w:rPr>
        <w:drawing>
          <wp:inline distT="0" distB="0" distL="0" distR="0" wp14:anchorId="03AB9C53" wp14:editId="02D1E690">
            <wp:extent cx="5400040" cy="3347085"/>
            <wp:effectExtent l="0" t="0" r="0" b="5715"/>
            <wp:docPr id="145496087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0876" name="Imagen 1" descr="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1A9A" w14:textId="1AEF0DC1" w:rsidR="000F7D84" w:rsidRPr="000F7D84" w:rsidRDefault="00600DEF" w:rsidP="000F7D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Evolución de la población (población total expresada en millones de personas), desde 2012 a 2022, en Corea del Sur (línea azul) y Nigeria (línea verde).</w:t>
      </w:r>
    </w:p>
    <w:sectPr w:rsidR="000F7D84" w:rsidRPr="000F7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84"/>
    <w:rsid w:val="000F7D84"/>
    <w:rsid w:val="00600DEF"/>
    <w:rsid w:val="00B8607D"/>
    <w:rsid w:val="00F5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A92AC"/>
  <w15:chartTrackingRefBased/>
  <w15:docId w15:val="{22D66D33-E56D-4214-998C-97A6BA51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D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D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D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D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D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D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 Giménez</dc:creator>
  <cp:keywords/>
  <dc:description/>
  <cp:lastModifiedBy>Maia Giménez</cp:lastModifiedBy>
  <cp:revision>1</cp:revision>
  <dcterms:created xsi:type="dcterms:W3CDTF">2025-04-04T16:52:00Z</dcterms:created>
  <dcterms:modified xsi:type="dcterms:W3CDTF">2025-04-04T17:06:00Z</dcterms:modified>
</cp:coreProperties>
</file>