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3600"/>
        <w:gridCol w:w="5760"/>
      </w:tblGrid>
      <w:tr>
        <w:tc>
          <w:tcPr>
            <w:tcW w:type="dxa" w:w="4986"/>
            <w:vAlign w:val="center"/>
            <w:tcBorders>
              <w:top w:val="none" w:sz="0" w:space="0" w:color="auto"/>
              <w:left w:val="none" w:sz="0" w:space="0" w:color="auto"/>
              <w:bottom w:val="none" w:sz="0" w:space="0" w:color="auto"/>
              <w:right w:val="none" w:sz="0" w:space="0" w:color="auto"/>
            </w:tcBorders>
          </w:tcPr>
          <w:p>
            <w:r>
              <w:drawing>
                <wp:inline xmlns:a="http://schemas.openxmlformats.org/drawingml/2006/main" xmlns:pic="http://schemas.openxmlformats.org/drawingml/2006/picture">
                  <wp:extent cx="1463040" cy="731520"/>
                  <wp:docPr id="1" name="Picture 1"/>
                  <wp:cNvGraphicFramePr>
                    <a:graphicFrameLocks noChangeAspect="1"/>
                  </wp:cNvGraphicFramePr>
                  <a:graphic>
                    <a:graphicData uri="http://schemas.openxmlformats.org/drawingml/2006/picture">
                      <pic:pic>
                        <pic:nvPicPr>
                          <pic:cNvPr id="0" name="remax_logo.png"/>
                          <pic:cNvPicPr/>
                        </pic:nvPicPr>
                        <pic:blipFill>
                          <a:blip r:embed="rId9"/>
                          <a:stretch>
                            <a:fillRect/>
                          </a:stretch>
                        </pic:blipFill>
                        <pic:spPr>
                          <a:xfrm>
                            <a:off x="0" y="0"/>
                            <a:ext cx="1463040" cy="731520"/>
                          </a:xfrm>
                          <a:prstGeom prst="rect"/>
                        </pic:spPr>
                      </pic:pic>
                    </a:graphicData>
                  </a:graphic>
                </wp:inline>
              </w:drawing>
            </w:r>
          </w:p>
        </w:tc>
        <w:tc>
          <w:tcPr>
            <w:tcW w:type="dxa" w:w="4986"/>
            <w:vAlign w:val="center"/>
            <w:tcBorders>
              <w:top w:val="none" w:sz="0" w:space="0" w:color="auto"/>
              <w:left w:val="none" w:sz="0" w:space="0" w:color="auto"/>
              <w:bottom w:val="none" w:sz="0" w:space="0" w:color="auto"/>
              <w:right w:val="none" w:sz="0" w:space="0" w:color="auto"/>
            </w:tcBorders>
          </w:tcPr>
          <w:p>
            <w:pPr>
              <w:jc w:val="right"/>
            </w:pPr>
            <w:r>
              <w:rPr>
                <w:b/>
                <w:color w:val="212529"/>
                <w:sz w:val="28"/>
              </w:rPr>
              <w:t>Referral Agreement</w:t>
              <w:br/>
              <w:t>Acuerdo de Referido</w:t>
            </w:r>
          </w:p>
          <w:p>
            <w:pPr>
              <w:jc w:val="right"/>
            </w:pPr>
            <w:r>
              <w:rPr>
                <w:color w:val="6C757D"/>
                <w:sz w:val="16"/>
              </w:rPr>
              <w:t>B2B Broker-to-Broker / Colaboración de Corredor a Corredor</w:t>
            </w:r>
          </w:p>
        </w:tc>
      </w:tr>
    </w:tbl>
    <w:p>
      <w:pPr>
        <w:spacing w:before="40" w:after="160"/>
        <w:pBdr>
          <w:bottom w:val="double" w:sz="6" w:space="1" w:color="003DA5"/>
        </w:pBdr>
      </w:pPr>
    </w:p>
    <w:p>
      <w:pPr>
        <w:spacing w:after="40"/>
        <w:jc w:val="center"/>
      </w:pPr>
      <w:r>
        <w:rPr>
          <w:b/>
          <w:color w:val="003DA5"/>
          <w:sz w:val="26"/>
        </w:rPr>
        <w:t>INTERNATIONAL REFERRAL &amp; COLLABORATION AGREEMENT</w:t>
        <w:br/>
      </w:r>
      <w:r>
        <w:rPr>
          <w:b/>
          <w:color w:val="E11B22"/>
          <w:sz w:val="24"/>
        </w:rPr>
        <w:t>ACUERDO INTERNACIONAL DE REFERIDO Y COLABORACIÓN</w:t>
      </w:r>
    </w:p>
    <w:p>
      <w:pPr>
        <w:spacing w:before="240" w:after="80"/>
      </w:pPr>
      <w:r>
        <w:rPr>
          <w:b/>
          <w:color w:val="003DA5"/>
          <w:sz w:val="22"/>
        </w:rPr>
        <w:t>BROKER A — Referring Brokerage (US / Canada)</w:t>
      </w:r>
      <w:r>
        <w:rPr>
          <w:color w:val="6C757D"/>
          <w:sz w:val="22"/>
        </w:rPr>
        <w:t xml:space="preserve"> / </w:t>
      </w:r>
      <w:r>
        <w:rPr>
          <w:b/>
          <w:color w:val="E11B22"/>
          <w:sz w:val="22"/>
        </w:rPr>
        <w:t>CORREDOR A — Agencia Referente</w:t>
      </w:r>
    </w:p>
    <w:tbl>
      <w:tblPr>
        <w:tblW w:type="auto" w:w="0"/>
        <w:tblLook w:firstColumn="1" w:firstRow="1" w:lastColumn="0" w:lastRow="0" w:noHBand="0" w:noVBand="1" w:val="04A0"/>
      </w:tblPr>
      <w:tblGrid>
        <w:gridCol w:w="3168"/>
        <w:gridCol w:w="6192"/>
      </w:tblGrid>
      <w:tr>
        <w:tc>
          <w:tcPr>
            <w:tcW w:type="dxa" w:w="3168"/>
            <w:shd w:fill="F8F9FA"/>
          </w:tcPr>
          <w:p>
            <w:r>
              <w:rPr>
                <w:b/>
                <w:color w:val="212529"/>
                <w:sz w:val="18"/>
              </w:rPr>
              <w:t>Brokerage Name / Agencia:</w:t>
            </w:r>
          </w:p>
        </w:tc>
        <w:tc>
          <w:tcPr>
            <w:tcW w:type="dxa" w:w="6192"/>
            <w:shd w:fill="F8F9FA"/>
          </w:tcPr>
          <w:p>
            <w:r>
              <w:rPr>
                <w:color w:val="212529"/>
                <w:sz w:val="18"/>
              </w:rPr>
            </w:r>
          </w:p>
        </w:tc>
      </w:tr>
      <w:tr>
        <w:tc>
          <w:tcPr>
            <w:tcW w:type="dxa" w:w="3168"/>
            <w:shd w:fill="F8F9FA"/>
          </w:tcPr>
          <w:p>
            <w:r>
              <w:rPr>
                <w:b/>
                <w:color w:val="212529"/>
                <w:sz w:val="18"/>
              </w:rPr>
              <w:t>Broker of Record / Corredor:</w:t>
            </w:r>
          </w:p>
        </w:tc>
        <w:tc>
          <w:tcPr>
            <w:tcW w:type="dxa" w:w="6192"/>
            <w:shd w:fill="F8F9FA"/>
          </w:tcPr>
          <w:p>
            <w:r>
              <w:rPr>
                <w:color w:val="212529"/>
                <w:sz w:val="18"/>
              </w:rPr>
            </w:r>
          </w:p>
        </w:tc>
      </w:tr>
      <w:tr>
        <w:tc>
          <w:tcPr>
            <w:tcW w:type="dxa" w:w="3168"/>
            <w:shd w:fill="F8F9FA"/>
          </w:tcPr>
          <w:p>
            <w:r>
              <w:rPr>
                <w:b/>
                <w:color w:val="212529"/>
                <w:sz w:val="18"/>
              </w:rPr>
              <w:t>Office Address / Dirección:</w:t>
            </w:r>
          </w:p>
        </w:tc>
        <w:tc>
          <w:tcPr>
            <w:tcW w:type="dxa" w:w="6192"/>
            <w:shd w:fill="F8F9FA"/>
          </w:tcPr>
          <w:p>
            <w:r>
              <w:rPr>
                <w:color w:val="212529"/>
                <w:sz w:val="18"/>
              </w:rPr>
            </w:r>
          </w:p>
        </w:tc>
      </w:tr>
      <w:tr>
        <w:tc>
          <w:tcPr>
            <w:tcW w:type="dxa" w:w="3168"/>
            <w:shd w:fill="F8F9FA"/>
          </w:tcPr>
          <w:p>
            <w:r>
              <w:rPr>
                <w:b/>
                <w:color w:val="212529"/>
                <w:sz w:val="18"/>
              </w:rPr>
              <w:t>Broker License # / Licencia:</w:t>
            </w:r>
          </w:p>
        </w:tc>
        <w:tc>
          <w:tcPr>
            <w:tcW w:type="dxa" w:w="6192"/>
            <w:shd w:fill="F8F9FA"/>
          </w:tcPr>
          <w:p>
            <w:r>
              <w:rPr>
                <w:color w:val="212529"/>
                <w:sz w:val="18"/>
              </w:rPr>
            </w:r>
          </w:p>
        </w:tc>
      </w:tr>
      <w:tr>
        <w:tc>
          <w:tcPr>
            <w:tcW w:type="dxa" w:w="3168"/>
            <w:shd w:fill="F8F9FA"/>
          </w:tcPr>
          <w:p>
            <w:r>
              <w:rPr>
                <w:b/>
                <w:color w:val="212529"/>
                <w:sz w:val="18"/>
              </w:rPr>
              <w:t>Referring Agent / Agente Referente:</w:t>
            </w:r>
          </w:p>
        </w:tc>
        <w:tc>
          <w:tcPr>
            <w:tcW w:type="dxa" w:w="6192"/>
            <w:shd w:fill="F8F9FA"/>
          </w:tcPr>
          <w:p>
            <w:r>
              <w:rPr>
                <w:color w:val="212529"/>
                <w:sz w:val="18"/>
              </w:rPr>
            </w:r>
          </w:p>
        </w:tc>
      </w:tr>
      <w:tr>
        <w:tc>
          <w:tcPr>
            <w:tcW w:type="dxa" w:w="3168"/>
            <w:shd w:fill="F8F9FA"/>
          </w:tcPr>
          <w:p>
            <w:r>
              <w:rPr>
                <w:b/>
                <w:color w:val="212529"/>
                <w:sz w:val="18"/>
              </w:rPr>
              <w:t>Agent License # / Licencia Agente:</w:t>
            </w:r>
          </w:p>
        </w:tc>
        <w:tc>
          <w:tcPr>
            <w:tcW w:type="dxa" w:w="6192"/>
            <w:shd w:fill="F8F9FA"/>
          </w:tcPr>
          <w:p>
            <w:r>
              <w:rPr>
                <w:color w:val="212529"/>
                <w:sz w:val="18"/>
              </w:rPr>
            </w:r>
          </w:p>
        </w:tc>
      </w:tr>
      <w:tr>
        <w:tc>
          <w:tcPr>
            <w:tcW w:type="dxa" w:w="3168"/>
            <w:shd w:fill="F8F9FA"/>
          </w:tcPr>
          <w:p>
            <w:r>
              <w:rPr>
                <w:b/>
                <w:color w:val="212529"/>
                <w:sz w:val="18"/>
              </w:rPr>
              <w:t>Agent Contact / Contacto:</w:t>
            </w:r>
          </w:p>
        </w:tc>
        <w:tc>
          <w:tcPr>
            <w:tcW w:type="dxa" w:w="6192"/>
            <w:shd w:fill="F8F9FA"/>
          </w:tcPr>
          <w:p>
            <w:r>
              <w:rPr>
                <w:color w:val="212529"/>
                <w:sz w:val="18"/>
              </w:rPr>
            </w:r>
          </w:p>
        </w:tc>
      </w:tr>
    </w:tbl>
    <w:p>
      <w:pPr>
        <w:spacing w:before="240" w:after="80"/>
      </w:pPr>
      <w:r>
        <w:rPr>
          <w:b/>
          <w:color w:val="003DA5"/>
          <w:sz w:val="22"/>
        </w:rPr>
        <w:t>BROKER B — Receiving Brokerage (Spain)</w:t>
      </w:r>
      <w:r>
        <w:rPr>
          <w:color w:val="6C757D"/>
          <w:sz w:val="22"/>
        </w:rPr>
        <w:t xml:space="preserve"> / </w:t>
      </w:r>
      <w:r>
        <w:rPr>
          <w:b/>
          <w:color w:val="E11B22"/>
          <w:sz w:val="22"/>
        </w:rPr>
        <w:t>CORREDOR B — Agencia Receptora</w:t>
      </w:r>
    </w:p>
    <w:tbl>
      <w:tblPr>
        <w:tblW w:type="auto" w:w="0"/>
        <w:tblLook w:firstColumn="1" w:firstRow="1" w:lastColumn="0" w:lastRow="0" w:noHBand="0" w:noVBand="1" w:val="04A0"/>
      </w:tblPr>
      <w:tblGrid>
        <w:gridCol w:w="3168"/>
        <w:gridCol w:w="6192"/>
      </w:tblGrid>
      <w:tr>
        <w:tc>
          <w:tcPr>
            <w:tcW w:type="dxa" w:w="3168"/>
            <w:shd w:fill="F8F9FA"/>
          </w:tcPr>
          <w:p>
            <w:r>
              <w:rPr>
                <w:b/>
                <w:color w:val="212529"/>
                <w:sz w:val="18"/>
              </w:rPr>
              <w:t>Brokerage Name / Agencia:</w:t>
            </w:r>
          </w:p>
        </w:tc>
        <w:tc>
          <w:tcPr>
            <w:tcW w:type="dxa" w:w="6192"/>
            <w:shd w:fill="F8F9FA"/>
          </w:tcPr>
          <w:p>
            <w:r>
              <w:rPr>
                <w:color w:val="212529"/>
                <w:sz w:val="18"/>
              </w:rPr>
              <w:t>Megagestión Servicios Inmobiliarios</w:t>
            </w:r>
          </w:p>
        </w:tc>
      </w:tr>
      <w:tr>
        <w:tc>
          <w:tcPr>
            <w:tcW w:type="dxa" w:w="3168"/>
            <w:shd w:fill="F8F9FA"/>
          </w:tcPr>
          <w:p>
            <w:r>
              <w:rPr>
                <w:b/>
                <w:color w:val="212529"/>
                <w:sz w:val="18"/>
              </w:rPr>
              <w:t>Broker of Record / Corredor:</w:t>
            </w:r>
          </w:p>
        </w:tc>
        <w:tc>
          <w:tcPr>
            <w:tcW w:type="dxa" w:w="6192"/>
            <w:shd w:fill="F8F9FA"/>
          </w:tcPr>
          <w:p>
            <w:r>
              <w:rPr>
                <w:color w:val="212529"/>
                <w:sz w:val="18"/>
              </w:rPr>
              <w:t>José Martínez Sánchez</w:t>
            </w:r>
          </w:p>
        </w:tc>
      </w:tr>
      <w:tr>
        <w:tc>
          <w:tcPr>
            <w:tcW w:type="dxa" w:w="3168"/>
            <w:shd w:fill="F8F9FA"/>
          </w:tcPr>
          <w:p>
            <w:r>
              <w:rPr>
                <w:b/>
                <w:color w:val="212529"/>
                <w:sz w:val="18"/>
              </w:rPr>
              <w:t>Office Address / Dirección:</w:t>
            </w:r>
          </w:p>
        </w:tc>
        <w:tc>
          <w:tcPr>
            <w:tcW w:type="dxa" w:w="6192"/>
            <w:shd w:fill="F8F9FA"/>
          </w:tcPr>
          <w:p>
            <w:r>
              <w:rPr>
                <w:color w:val="212529"/>
                <w:sz w:val="18"/>
              </w:rPr>
              <w:t>Carrer Conrado del Campo 16, 03204, Elche (Alicante), Spain</w:t>
            </w:r>
          </w:p>
        </w:tc>
      </w:tr>
      <w:tr>
        <w:tc>
          <w:tcPr>
            <w:tcW w:type="dxa" w:w="3168"/>
            <w:shd w:fill="F8F9FA"/>
          </w:tcPr>
          <w:p>
            <w:r>
              <w:rPr>
                <w:b/>
                <w:color w:val="212529"/>
                <w:sz w:val="18"/>
              </w:rPr>
              <w:t>CIF (Tax ID) / NIF:</w:t>
            </w:r>
          </w:p>
        </w:tc>
        <w:tc>
          <w:tcPr>
            <w:tcW w:type="dxa" w:w="6192"/>
            <w:shd w:fill="F8F9FA"/>
          </w:tcPr>
          <w:p>
            <w:r>
              <w:rPr>
                <w:color w:val="212529"/>
                <w:sz w:val="18"/>
              </w:rPr>
              <w:t>B-54829767</w:t>
            </w:r>
          </w:p>
        </w:tc>
      </w:tr>
      <w:tr>
        <w:tc>
          <w:tcPr>
            <w:tcW w:type="dxa" w:w="3168"/>
            <w:shd w:fill="F8F9FA"/>
          </w:tcPr>
          <w:p>
            <w:r>
              <w:rPr>
                <w:b/>
                <w:color w:val="212529"/>
                <w:sz w:val="18"/>
              </w:rPr>
              <w:t>Contact Email / Correo:</w:t>
            </w:r>
          </w:p>
        </w:tc>
        <w:tc>
          <w:tcPr>
            <w:tcW w:type="dxa" w:w="6192"/>
            <w:shd w:fill="F8F9FA"/>
          </w:tcPr>
          <w:p>
            <w:r>
              <w:rPr>
                <w:color w:val="212529"/>
                <w:sz w:val="18"/>
              </w:rPr>
              <w:t>jose.martinez@remax.es</w:t>
            </w:r>
          </w:p>
        </w:tc>
      </w:tr>
      <w:tr>
        <w:tc>
          <w:tcPr>
            <w:tcW w:type="dxa" w:w="3168"/>
            <w:shd w:fill="F8F9FA"/>
          </w:tcPr>
          <w:p>
            <w:r>
              <w:rPr>
                <w:b/>
                <w:color w:val="212529"/>
                <w:sz w:val="18"/>
              </w:rPr>
              <w:t>Office Phone / Teléfono:</w:t>
            </w:r>
          </w:p>
        </w:tc>
        <w:tc>
          <w:tcPr>
            <w:tcW w:type="dxa" w:w="6192"/>
            <w:shd w:fill="F8F9FA"/>
          </w:tcPr>
          <w:p>
            <w:r>
              <w:rPr>
                <w:color w:val="212529"/>
                <w:sz w:val="18"/>
              </w:rPr>
              <w:t>+34 966 665 651</w:t>
            </w:r>
          </w:p>
        </w:tc>
      </w:tr>
      <w:tr>
        <w:tc>
          <w:tcPr>
            <w:tcW w:type="dxa" w:w="3168"/>
            <w:shd w:fill="F8F9FA"/>
          </w:tcPr>
          <w:p>
            <w:r>
              <w:rPr>
                <w:b/>
                <w:color w:val="212529"/>
                <w:sz w:val="18"/>
              </w:rPr>
              <w:t>Local Agent / Agente Local España:</w:t>
            </w:r>
          </w:p>
        </w:tc>
        <w:tc>
          <w:tcPr>
            <w:tcW w:type="dxa" w:w="6192"/>
            <w:shd w:fill="F8F9FA"/>
          </w:tcPr>
          <w:p>
            <w:r>
              <w:rPr>
                <w:color w:val="212529"/>
                <w:sz w:val="18"/>
              </w:rPr>
            </w:r>
          </w:p>
        </w:tc>
      </w:tr>
    </w:tbl>
    <w:p>
      <w:pPr>
        <w:spacing w:before="240" w:after="80"/>
      </w:pPr>
      <w:r>
        <w:rPr>
          <w:b/>
          <w:color w:val="003DA5"/>
          <w:sz w:val="22"/>
        </w:rPr>
        <w:t>PROSPECT — Referred Buyer Client</w:t>
      </w:r>
      <w:r>
        <w:rPr>
          <w:color w:val="6C757D"/>
          <w:sz w:val="22"/>
        </w:rPr>
        <w:t xml:space="preserve"> / </w:t>
      </w:r>
      <w:r>
        <w:rPr>
          <w:b/>
          <w:color w:val="E11B22"/>
          <w:sz w:val="22"/>
        </w:rPr>
        <w:t>CLIENTE REFERIDO — Comprador</w:t>
      </w:r>
    </w:p>
    <w:tbl>
      <w:tblPr>
        <w:tblW w:type="auto" w:w="0"/>
        <w:tblLook w:firstColumn="1" w:firstRow="1" w:lastColumn="0" w:lastRow="0" w:noHBand="0" w:noVBand="1" w:val="04A0"/>
      </w:tblPr>
      <w:tblGrid>
        <w:gridCol w:w="3168"/>
        <w:gridCol w:w="6192"/>
      </w:tblGrid>
      <w:tr>
        <w:tc>
          <w:tcPr>
            <w:tcW w:type="dxa" w:w="3168"/>
            <w:shd w:fill="F8F9FA"/>
          </w:tcPr>
          <w:p>
            <w:r>
              <w:rPr>
                <w:b/>
                <w:color w:val="212529"/>
                <w:sz w:val="18"/>
              </w:rPr>
              <w:t>Full Name / Nombre Completo:</w:t>
            </w:r>
          </w:p>
        </w:tc>
        <w:tc>
          <w:tcPr>
            <w:tcW w:type="dxa" w:w="6192"/>
            <w:shd w:fill="F8F9FA"/>
          </w:tcPr>
          <w:p>
            <w:r>
              <w:rPr>
                <w:color w:val="212529"/>
                <w:sz w:val="18"/>
              </w:rPr>
            </w:r>
          </w:p>
        </w:tc>
      </w:tr>
      <w:tr>
        <w:tc>
          <w:tcPr>
            <w:tcW w:type="dxa" w:w="3168"/>
            <w:shd w:fill="F8F9FA"/>
          </w:tcPr>
          <w:p>
            <w:r>
              <w:rPr>
                <w:b/>
                <w:color w:val="212529"/>
                <w:sz w:val="18"/>
              </w:rPr>
              <w:t>Email Address / Correo:</w:t>
            </w:r>
          </w:p>
        </w:tc>
        <w:tc>
          <w:tcPr>
            <w:tcW w:type="dxa" w:w="6192"/>
            <w:shd w:fill="F8F9FA"/>
          </w:tcPr>
          <w:p>
            <w:r>
              <w:rPr>
                <w:color w:val="212529"/>
                <w:sz w:val="18"/>
              </w:rPr>
            </w:r>
          </w:p>
        </w:tc>
      </w:tr>
      <w:tr>
        <w:tc>
          <w:tcPr>
            <w:tcW w:type="dxa" w:w="3168"/>
            <w:shd w:fill="F8F9FA"/>
          </w:tcPr>
          <w:p>
            <w:r>
              <w:rPr>
                <w:b/>
                <w:color w:val="212529"/>
                <w:sz w:val="18"/>
              </w:rPr>
              <w:t>Phone Number / Teléfono:</w:t>
            </w:r>
          </w:p>
        </w:tc>
        <w:tc>
          <w:tcPr>
            <w:tcW w:type="dxa" w:w="6192"/>
            <w:shd w:fill="F8F9FA"/>
          </w:tcPr>
          <w:p>
            <w:r>
              <w:rPr>
                <w:color w:val="212529"/>
                <w:sz w:val="18"/>
              </w:rPr>
            </w:r>
          </w:p>
        </w:tc>
      </w:tr>
      <w:tr>
        <w:tc>
          <w:tcPr>
            <w:tcW w:type="dxa" w:w="3168"/>
            <w:shd w:fill="F8F9FA"/>
          </w:tcPr>
          <w:p>
            <w:r>
              <w:rPr>
                <w:b/>
                <w:color w:val="212529"/>
                <w:sz w:val="18"/>
              </w:rPr>
              <w:t>Target Region / Región Destino:</w:t>
            </w:r>
          </w:p>
        </w:tc>
        <w:tc>
          <w:tcPr>
            <w:tcW w:type="dxa" w:w="6192"/>
            <w:shd w:fill="F8F9FA"/>
          </w:tcPr>
          <w:p>
            <w:r>
              <w:rPr>
                <w:color w:val="212529"/>
                <w:sz w:val="18"/>
              </w:rPr>
              <w:t>Alicante Province / Costa Blanca (Spain)</w:t>
            </w:r>
          </w:p>
        </w:tc>
      </w:tr>
    </w:tbl>
    <w:p>
      <w:pPr>
        <w:spacing w:before="240" w:after="80"/>
      </w:pPr>
      <w:r>
        <w:rPr>
          <w:b/>
          <w:color w:val="003DA5"/>
          <w:sz w:val="22"/>
        </w:rPr>
        <w:t>COMMISSION SPLIT &amp; REFERRAL FEE</w:t>
      </w:r>
      <w:r>
        <w:rPr>
          <w:color w:val="6C757D"/>
          <w:sz w:val="22"/>
        </w:rPr>
        <w:t xml:space="preserve"> / </w:t>
      </w:r>
      <w:r>
        <w:rPr>
          <w:b/>
          <w:color w:val="E11B22"/>
          <w:sz w:val="22"/>
        </w:rPr>
        <w:t>SPLIT DE COMISIÓN Y HONORARIOS DE REFERIDO</w:t>
      </w:r>
    </w:p>
    <w:p>
      <w:pPr>
        <w:spacing w:after="80"/>
        <w:jc w:val="both"/>
      </w:pPr>
      <w:r>
        <w:rPr>
          <w:sz w:val="19"/>
        </w:rPr>
        <w:t>In consideration of the referral of the Prospect, Broker B shall compensate Broker A in the amount of (select one): / En contraprestación por la presentación del Cliente, el Corredor B compensará al Corredor A con el siguiente importe (marque uno):</w:t>
      </w:r>
    </w:p>
    <w:p>
      <w:pPr>
        <w:spacing w:after="60"/>
        <w:ind w:left="283"/>
      </w:pPr>
      <w:r>
        <w:rPr>
          <w:b/>
          <w:color w:val="003DA5"/>
          <w:sz w:val="22"/>
        </w:rPr>
        <w:t xml:space="preserve">  ☐  </w:t>
      </w:r>
      <w:r>
        <w:rPr>
          <w:sz w:val="19"/>
        </w:rPr>
        <w:t>$ ______________ USD / CAD — Flat-rate referral fee / Tarifa plana.</w:t>
      </w:r>
    </w:p>
    <w:p>
      <w:pPr>
        <w:spacing w:after="60"/>
        <w:ind w:left="283"/>
      </w:pPr>
      <w:r>
        <w:rPr>
          <w:b/>
          <w:color w:val="003DA5"/>
          <w:sz w:val="22"/>
        </w:rPr>
        <w:t xml:space="preserve">  ☑  </w:t>
      </w:r>
      <w:r>
        <w:rPr>
          <w:sz w:val="19"/>
        </w:rPr>
        <w:t>25% (Twenty-Five Percent / Veinticinco Por Ciento) of the gross buyer-side commission received by Broker B / de la comisión bruta del lado comprador recibida por el Corredor B.</w:t>
      </w:r>
    </w:p>
    <w:p>
      <w:pPr>
        <w:spacing w:after="60"/>
        <w:ind w:left="283"/>
      </w:pPr>
      <w:r>
        <w:rPr>
          <w:b/>
          <w:color w:val="003DA5"/>
          <w:sz w:val="22"/>
        </w:rPr>
        <w:t xml:space="preserve">  ☐  </w:t>
      </w:r>
      <w:r>
        <w:rPr>
          <w:sz w:val="19"/>
        </w:rPr>
        <w:t>________ % of the gross buyer-side commission / de la comisión bruta del lado comprador.</w:t>
      </w:r>
    </w:p>
    <w:p>
      <w:pPr>
        <w:spacing w:before="120" w:after="160"/>
        <w:ind w:left="283"/>
        <w:pBdr>
          <w:left w:val="single" w:sz="12" w:space="4" w:color="003DA5"/>
        </w:pBdr>
      </w:pPr>
      <w:r>
        <w:rPr>
          <w:b/>
          <w:sz w:val="18"/>
        </w:rPr>
        <w:t>💡 Example / Ejemplo (25% Split):</w:t>
        <w:br/>
      </w:r>
      <w:r>
        <w:rPr>
          <w:color w:val="6C757D"/>
          <w:sz w:val="18"/>
        </w:rPr>
        <w:t>• Purchase Price / Precio: €400,000</w:t>
        <w:br/>
        <w:t>• Gross buyer commission (5%) / Comisión bruta: €20,000</w:t>
        <w:br/>
        <w:t>• Referring Broker payout (25%) / Pago al Corredor A: €5,000 EUR (wire/transferencia)</w:t>
      </w:r>
    </w:p>
    <w:p>
      <w:pPr>
        <w:spacing w:before="200" w:after="40"/>
      </w:pPr>
      <w:r>
        <w:rPr>
          <w:b/>
          <w:color w:val="003DA5"/>
          <w:sz w:val="20"/>
        </w:rPr>
        <w:t>1. B2B Broker-to-Broker Relationship / Relación Comercial B2B</w:t>
      </w:r>
    </w:p>
    <w:p>
      <w:pPr>
        <w:spacing w:after="80"/>
        <w:jc w:val="both"/>
      </w:pPr>
      <w:r>
        <w:rPr>
          <w:color w:val="212529"/>
          <w:sz w:val="19"/>
        </w:rPr>
        <w:t>This agreement represents a business-to-business (B2B) marketing and referral contract. Broker A is a legally licensed brokerage in its jurisdiction of origin (United States or Canada) and Broker B is a licensed real estate entity in Spain. As this is an international service referral, Broker A and its agents do not require licensing or registration in Spain to receive this B2B service fee.</w:t>
      </w:r>
    </w:p>
    <w:p>
      <w:pPr>
        <w:spacing w:after="120"/>
        <w:jc w:val="both"/>
      </w:pPr>
      <w:r>
        <w:rPr>
          <w:i/>
          <w:color w:val="6C757D"/>
          <w:sz w:val="18"/>
        </w:rPr>
        <w:t>Este acuerdo representa un contrato de marketing y referido de empresa a empresa (B2B). El Corredor A es una agencia legalmente autorizada en su jurisdicción de origen (EE. UU. o Canadá) y el Corredor B es una entidad inmobiliaria con licencia en España. Al tratarse de un servicio de referido internacional, el Corredor A y sus agentes no requieren licencia ni registro en España para percibir estos honorarios de servicio B2B.</w:t>
      </w:r>
    </w:p>
    <w:p>
      <w:pPr>
        <w:spacing w:before="200" w:after="40"/>
      </w:pPr>
      <w:r>
        <w:rPr>
          <w:b/>
          <w:color w:val="003DA5"/>
          <w:sz w:val="20"/>
        </w:rPr>
        <w:t>2. Distribution to Involved Agents / Distribución a los Agentes Involucrados</w:t>
      </w:r>
    </w:p>
    <w:p>
      <w:pPr>
        <w:spacing w:after="80"/>
        <w:jc w:val="both"/>
      </w:pPr>
      <w:r>
        <w:rPr>
          <w:color w:val="212529"/>
          <w:sz w:val="19"/>
        </w:rPr>
        <w:t>Broker B shall wire the referral fee directly to the brokerage bank account of Broker A. Broker A is solely responsible for distributing the corresponding commission split to the Referring Real Estate Agent named above. Broker B is responsible for distributing commission splits to the local Spain Receiving Agent assigned to the transaction.</w:t>
      </w:r>
    </w:p>
    <w:p>
      <w:pPr>
        <w:spacing w:after="120"/>
        <w:jc w:val="both"/>
      </w:pPr>
      <w:r>
        <w:rPr>
          <w:i/>
          <w:color w:val="6C757D"/>
          <w:sz w:val="18"/>
        </w:rPr>
        <w:t>El Corredor B transferirá los honorarios de referido directamente a la cuenta bancaria corporativa del Corredor A. El Corredor A es el único responsable de distribuir la comisión correspondiente al Agente Inmobiliario Referente aquí nombrado. El Corredor B es responsable de pagar la comisión correspondiente al Agente Receptor local en España asignado a la transacción.</w:t>
      </w:r>
    </w:p>
    <w:p>
      <w:pPr>
        <w:spacing w:before="200" w:after="40"/>
      </w:pPr>
      <w:r>
        <w:rPr>
          <w:b/>
          <w:color w:val="003DA5"/>
          <w:sz w:val="20"/>
        </w:rPr>
        <w:t>3. Client Registry &amp; Lock Period / Registro del Cliente y Periodo de Reserva</w:t>
      </w:r>
    </w:p>
    <w:p>
      <w:pPr>
        <w:spacing w:after="80"/>
        <w:jc w:val="both"/>
      </w:pPr>
      <w:r>
        <w:rPr>
          <w:color w:val="212529"/>
          <w:sz w:val="19"/>
        </w:rPr>
        <w:t>The referral is considered registered and protected once the Prospect is submitted through Broker B's portal or signed below. Broker A is entitled to the referral compensation for any real estate transaction closed by the Prospect in Spain within 24 months of the referral registration date.</w:t>
      </w:r>
    </w:p>
    <w:p>
      <w:pPr>
        <w:spacing w:after="120"/>
        <w:jc w:val="both"/>
      </w:pPr>
      <w:r>
        <w:rPr>
          <w:i/>
          <w:color w:val="6C757D"/>
          <w:sz w:val="18"/>
        </w:rPr>
        <w:t>El referido se considera registrado y protegido una vez que se envía el Cliente a través del portal del Corredor B o se firma el presente acuerdo. El Corredor A tendrá derecho a la compensación por referido para cualquier transacción inmobiliaria cerrada por el Cliente en España dentro de los 24 meses posteriores a la fecha de registro.</w:t>
      </w:r>
    </w:p>
    <w:p>
      <w:pPr>
        <w:spacing w:before="200" w:after="40"/>
      </w:pPr>
      <w:r>
        <w:rPr>
          <w:b/>
          <w:color w:val="003DA5"/>
          <w:sz w:val="20"/>
        </w:rPr>
        <w:t>4. Payout Settlement &amp; Wire Transfers / Liquidación de Pagos y Transferencias</w:t>
      </w:r>
    </w:p>
    <w:p>
      <w:pPr>
        <w:spacing w:after="80"/>
        <w:jc w:val="both"/>
      </w:pPr>
      <w:r>
        <w:rPr>
          <w:color w:val="212529"/>
          <w:sz w:val="19"/>
        </w:rPr>
        <w:t>Referral fees shall be settled and wired to Broker A within 30 business days of the transaction closing in Spain and subsequent receipt of clear funds by Broker B. Payouts will be processed via international bank wire. Intermediary bank wire and currency conversion fees shall be borne by the recipient.</w:t>
      </w:r>
    </w:p>
    <w:p>
      <w:pPr>
        <w:spacing w:after="120"/>
        <w:jc w:val="both"/>
      </w:pPr>
      <w:r>
        <w:rPr>
          <w:i/>
          <w:color w:val="6C757D"/>
          <w:sz w:val="18"/>
        </w:rPr>
        <w:t>Los honorarios de referido se liquidarán y transferirán al Corredor A dentro de los 30 días hábiles posteriores al cierre de la transacción en España y la posterior recepción de los fondos correspondientes por el Corredor B. Los pagos se realizarán mediante transferencia bancaria internacional. Los gastos bancarios intermediarios y de conversión de divisas serán asumidos por el destinatario.</w:t>
      </w:r>
    </w:p>
    <w:p>
      <w:pPr>
        <w:spacing w:before="200" w:after="40"/>
      </w:pPr>
      <w:r>
        <w:rPr>
          <w:b/>
          <w:color w:val="003DA5"/>
          <w:sz w:val="20"/>
        </w:rPr>
        <w:t>5. Tax Compliance &amp; Invoicing / Cumplimiento Fiscal y Facturación</w:t>
      </w:r>
    </w:p>
    <w:p>
      <w:pPr>
        <w:spacing w:after="80"/>
        <w:jc w:val="both"/>
      </w:pPr>
      <w:r>
        <w:rPr>
          <w:color w:val="212529"/>
          <w:sz w:val="19"/>
        </w:rPr>
        <w:t>To comply with Spanish Tax Authorities, Broker A (if US-based) agrees to provide a completed IRS Form W-8BEN-E (or Canadian equivalent) to Broker B prior to payout, verifying corporate non-resident status and exempting the transaction from local Spanish withholding tax. Broker A shall also issue a commercial invoice for the referral fee amount.</w:t>
      </w:r>
    </w:p>
    <w:p>
      <w:pPr>
        <w:spacing w:after="120"/>
        <w:jc w:val="both"/>
      </w:pPr>
      <w:r>
        <w:rPr>
          <w:i/>
          <w:color w:val="6C757D"/>
          <w:sz w:val="18"/>
        </w:rPr>
        <w:t>Para cumplir con la Agencia Tributaria Española, el Corredor A (si tiene sede en EE. UU.) se compromete a facilitar el formulario IRS W-8BEN-E (o equivalente canadiense) al Corredor B antes del pago, acreditando su condición de entidad extranjera no residente para eximir la retención fiscal en España. El Corredor A emitirá también una factura comercial por los honorarios correspondientes.</w:t>
      </w:r>
    </w:p>
    <w:p>
      <w:pPr>
        <w:spacing w:before="200" w:after="40"/>
      </w:pPr>
      <w:r>
        <w:rPr>
          <w:b/>
          <w:color w:val="003DA5"/>
          <w:sz w:val="20"/>
        </w:rPr>
        <w:t>6. Governing Law &amp; Jurisdiction / Ley Aplicable y Jurisdicción</w:t>
      </w:r>
    </w:p>
    <w:p>
      <w:pPr>
        <w:spacing w:after="80"/>
        <w:jc w:val="both"/>
      </w:pPr>
      <w:r>
        <w:rPr>
          <w:color w:val="212529"/>
          <w:sz w:val="19"/>
        </w:rPr>
        <w:t>This agreement is governed by and construed under the laws of Spain. The parties agree that any disputes arising out of this agreement which cannot be resolved through amicable mediation shall be submitted to the exclusive jurisdiction of the Courts of Alicante, Spain.</w:t>
      </w:r>
    </w:p>
    <w:p>
      <w:pPr>
        <w:spacing w:after="120"/>
        <w:jc w:val="both"/>
      </w:pPr>
      <w:r>
        <w:rPr>
          <w:i/>
          <w:color w:val="6C757D"/>
          <w:sz w:val="18"/>
        </w:rPr>
        <w:t>Este acuerdo se rige e interpreta según las leyes de España. Las partes acuerdan que cualquier disputa derivada de este acuerdo que no pueda resolverse mediante mediación amistosa se someterá a la jurisdicción exclusiva de los Tribunales de Alicante, España.</w:t>
      </w:r>
    </w:p>
    <w:p>
      <w:pPr>
        <w:spacing w:before="240" w:after="80"/>
      </w:pPr>
      <w:r>
        <w:rPr>
          <w:b/>
          <w:color w:val="003DA5"/>
          <w:sz w:val="22"/>
        </w:rPr>
        <w:t>SIGNATURE BLOCKS</w:t>
      </w:r>
      <w:r>
        <w:rPr>
          <w:color w:val="6C757D"/>
          <w:sz w:val="22"/>
        </w:rPr>
        <w:t xml:space="preserve"> / </w:t>
      </w:r>
      <w:r>
        <w:rPr>
          <w:b/>
          <w:color w:val="E11B22"/>
          <w:sz w:val="22"/>
        </w:rPr>
        <w:t>FIRMAS</w:t>
      </w:r>
    </w:p>
    <w:p>
      <w:pPr>
        <w:spacing w:before="280"/>
      </w:pPr>
      <w:r>
        <w:rPr>
          <w:b/>
          <w:color w:val="003DA5"/>
          <w:sz w:val="18"/>
        </w:rPr>
        <w:t>BROKER A — Referring Brokerage Representative / Representante Corredor A</w:t>
      </w:r>
    </w:p>
    <w:p>
      <w:pPr>
        <w:spacing w:before="480"/>
        <w:pBdr>
          <w:bottom w:val="single" w:sz="4" w:space="1" w:color="212529"/>
        </w:pBdr>
      </w:pPr>
    </w:p>
    <w:p>
      <w:pPr>
        <w:spacing w:after="20"/>
      </w:pPr>
      <w:r>
        <w:rPr>
          <w:color w:val="6C757D"/>
          <w:sz w:val="18"/>
        </w:rPr>
        <w:t xml:space="preserve">Signature / Firma:  </w:t>
      </w:r>
    </w:p>
    <w:p>
      <w:pPr>
        <w:spacing w:after="20"/>
      </w:pPr>
      <w:r>
        <w:rPr>
          <w:color w:val="6C757D"/>
          <w:sz w:val="18"/>
        </w:rPr>
        <w:t xml:space="preserve">Print Name / Nombre:  </w:t>
      </w:r>
    </w:p>
    <w:p>
      <w:pPr>
        <w:spacing w:after="20"/>
      </w:pPr>
      <w:r>
        <w:rPr>
          <w:color w:val="6C757D"/>
          <w:sz w:val="18"/>
        </w:rPr>
        <w:t xml:space="preserve">Title / Cargo:  </w:t>
      </w:r>
    </w:p>
    <w:p>
      <w:pPr>
        <w:spacing w:after="20"/>
      </w:pPr>
      <w:r>
        <w:rPr>
          <w:color w:val="6C757D"/>
          <w:sz w:val="18"/>
        </w:rPr>
        <w:t xml:space="preserve">Date / Fecha:  </w:t>
      </w:r>
    </w:p>
    <w:p>
      <w:pPr>
        <w:spacing w:before="280"/>
      </w:pPr>
      <w:r>
        <w:rPr>
          <w:b/>
          <w:color w:val="003DA5"/>
          <w:sz w:val="18"/>
        </w:rPr>
        <w:t>BROKER B — Megagestión Spain Representative / Representante Corredor B</w:t>
      </w:r>
    </w:p>
    <w:p>
      <w:pPr>
        <w:spacing w:before="480"/>
        <w:pBdr>
          <w:bottom w:val="single" w:sz="4" w:space="1" w:color="212529"/>
        </w:pBdr>
      </w:pPr>
    </w:p>
    <w:p>
      <w:pPr>
        <w:spacing w:after="20"/>
      </w:pPr>
      <w:r>
        <w:rPr>
          <w:color w:val="6C757D"/>
          <w:sz w:val="18"/>
        </w:rPr>
        <w:t xml:space="preserve">Signature / Firma:  </w:t>
      </w:r>
    </w:p>
    <w:p>
      <w:pPr>
        <w:spacing w:after="20"/>
      </w:pPr>
      <w:r>
        <w:rPr>
          <w:color w:val="6C757D"/>
          <w:sz w:val="18"/>
        </w:rPr>
        <w:t xml:space="preserve">Print Name / Nombre:  </w:t>
      </w:r>
      <w:r>
        <w:rPr>
          <w:b/>
          <w:color w:val="212529"/>
          <w:sz w:val="18"/>
        </w:rPr>
        <w:t>José Martínez Sánchez</w:t>
      </w:r>
    </w:p>
    <w:p>
      <w:pPr>
        <w:spacing w:after="20"/>
      </w:pPr>
      <w:r>
        <w:rPr>
          <w:color w:val="6C757D"/>
          <w:sz w:val="18"/>
        </w:rPr>
        <w:t xml:space="preserve">Title / Cargo:  </w:t>
      </w:r>
      <w:r>
        <w:rPr>
          <w:b/>
          <w:color w:val="212529"/>
          <w:sz w:val="18"/>
        </w:rPr>
        <w:t>Managing Broker / Corredor de la Oficina</w:t>
      </w:r>
    </w:p>
    <w:p>
      <w:pPr>
        <w:spacing w:after="20"/>
      </w:pPr>
      <w:r>
        <w:rPr>
          <w:color w:val="6C757D"/>
          <w:sz w:val="18"/>
        </w:rPr>
        <w:t xml:space="preserve">Date / Fecha:  </w:t>
      </w:r>
    </w:p>
    <w:p>
      <w:pPr>
        <w:spacing w:before="480"/>
        <w:jc w:val="center"/>
        <w:pBdr>
          <w:top w:val="single" w:sz="4" w:space="4" w:color="DEE2E6"/>
        </w:pBdr>
      </w:pPr>
      <w:r>
        <w:rPr>
          <w:color w:val="6C757D"/>
          <w:sz w:val="15"/>
        </w:rPr>
        <w:t>Megagestión Servicios Inmobiliarios • Carrer Conrado del Campo 16, 03204, Elche (Alicante), Spain</w:t>
        <w:br/>
        <w:t>CIF: B-54829767 • jose.martinez@remax.es • +34 966 665 651</w:t>
        <w:br/>
        <w:t>© 2026 Megagestión Servicios Inmobiliarios. All Rights Reserved.</w:t>
      </w:r>
    </w:p>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12529"/>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