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600"/>
        <w:gridCol w:w="5760"/>
      </w:tblGrid>
      <w:tr>
        <w:tc>
          <w:tcPr>
            <w:tcW w:type="dxa" w:w="4986"/>
            <w:vAlign w:val="center"/>
            <w:tcBorders>
              <w:top w:val="none" w:sz="0" w:space="0" w:color="auto"/>
              <w:left w:val="none" w:sz="0" w:space="0" w:color="auto"/>
              <w:bottom w:val="none" w:sz="0" w:space="0" w:color="auto"/>
              <w:right w:val="none" w:sz="0" w:space="0" w:color="auto"/>
            </w:tcBorders>
          </w:tcPr>
          <w:p>
            <w:r>
              <w:drawing>
                <wp:inline xmlns:a="http://schemas.openxmlformats.org/drawingml/2006/main" xmlns:pic="http://schemas.openxmlformats.org/drawingml/2006/picture">
                  <wp:extent cx="1463040" cy="731520"/>
                  <wp:docPr id="1" name="Picture 1"/>
                  <wp:cNvGraphicFramePr>
                    <a:graphicFrameLocks noChangeAspect="1"/>
                  </wp:cNvGraphicFramePr>
                  <a:graphic>
                    <a:graphicData uri="http://schemas.openxmlformats.org/drawingml/2006/picture">
                      <pic:pic>
                        <pic:nvPicPr>
                          <pic:cNvPr id="0" name="remax_logo.png"/>
                          <pic:cNvPicPr/>
                        </pic:nvPicPr>
                        <pic:blipFill>
                          <a:blip r:embed="rId9"/>
                          <a:stretch>
                            <a:fillRect/>
                          </a:stretch>
                        </pic:blipFill>
                        <pic:spPr>
                          <a:xfrm>
                            <a:off x="0" y="0"/>
                            <a:ext cx="1463040" cy="731520"/>
                          </a:xfrm>
                          <a:prstGeom prst="rect"/>
                        </pic:spPr>
                      </pic:pic>
                    </a:graphicData>
                  </a:graphic>
                </wp:inline>
              </w:drawing>
            </w:r>
          </w:p>
        </w:tc>
        <w:tc>
          <w:tcPr>
            <w:tcW w:type="dxa" w:w="4986"/>
            <w:vAlign w:val="center"/>
            <w:tcBorders>
              <w:top w:val="none" w:sz="0" w:space="0" w:color="auto"/>
              <w:left w:val="none" w:sz="0" w:space="0" w:color="auto"/>
              <w:bottom w:val="none" w:sz="0" w:space="0" w:color="auto"/>
              <w:right w:val="none" w:sz="0" w:space="0" w:color="auto"/>
            </w:tcBorders>
          </w:tcPr>
          <w:p>
            <w:pPr>
              <w:jc w:val="right"/>
            </w:pPr>
            <w:r>
              <w:rPr>
                <w:b/>
                <w:color w:val="212529"/>
                <w:sz w:val="28"/>
              </w:rPr>
              <w:t>Master Referral Agreement</w:t>
            </w:r>
          </w:p>
          <w:p>
            <w:pPr>
              <w:jc w:val="right"/>
            </w:pPr>
            <w:r>
              <w:rPr>
                <w:color w:val="6C757D"/>
                <w:sz w:val="18"/>
              </w:rPr>
              <w:t>Acuerdo Marco de Colaboración y Referidos</w:t>
            </w:r>
          </w:p>
        </w:tc>
      </w:tr>
    </w:tbl>
    <w:p>
      <w:pPr>
        <w:spacing w:before="40" w:after="160"/>
        <w:pBdr>
          <w:bottom w:val="double" w:sz="6" w:space="1" w:color="003DA5"/>
        </w:pBdr>
      </w:pPr>
    </w:p>
    <w:p>
      <w:pPr>
        <w:spacing w:after="40"/>
        <w:jc w:val="center"/>
      </w:pPr>
      <w:r>
        <w:rPr>
          <w:b/>
          <w:color w:val="003DA5"/>
          <w:sz w:val="26"/>
        </w:rPr>
        <w:t>INTERNATIONAL REFERRAL &amp; COLLABORATION AGREEMENT</w:t>
        <w:br/>
      </w:r>
      <w:r>
        <w:rPr>
          <w:b/>
          <w:color w:val="E11B22"/>
          <w:sz w:val="24"/>
        </w:rPr>
        <w:t>ACUERDO INTERNACIONAL DE REFERIDO Y COLABORACIÓN</w:t>
      </w:r>
    </w:p>
    <w:p>
      <w:pPr>
        <w:spacing w:before="240" w:after="80"/>
      </w:pPr>
      <w:r>
        <w:rPr>
          <w:b/>
          <w:color w:val="003DA5"/>
          <w:sz w:val="22"/>
        </w:rPr>
        <w:t>BROKER A — Referring Brokerage (US / Canada)</w:t>
      </w:r>
      <w:r>
        <w:rPr>
          <w:color w:val="6C757D"/>
          <w:sz w:val="22"/>
        </w:rPr>
        <w:t xml:space="preserve"> / </w:t>
      </w:r>
      <w:r>
        <w:rPr>
          <w:b/>
          <w:color w:val="E11B22"/>
          <w:sz w:val="22"/>
        </w:rPr>
        <w:t>CORREDOR A — Agencia Referente</w:t>
      </w:r>
    </w:p>
    <w:tbl>
      <w:tblPr>
        <w:tblW w:type="auto" w:w="0"/>
        <w:tblLook w:firstColumn="1" w:firstRow="1" w:lastColumn="0" w:lastRow="0" w:noHBand="0" w:noVBand="1" w:val="04A0"/>
      </w:tblPr>
      <w:tblGrid>
        <w:gridCol w:w="3168"/>
        <w:gridCol w:w="6192"/>
      </w:tblGrid>
      <w:tr>
        <w:tc>
          <w:tcPr>
            <w:tcW w:type="dxa" w:w="3168"/>
            <w:shd w:fill="F8F9FA"/>
          </w:tcPr>
          <w:p>
            <w:r>
              <w:rPr>
                <w:b/>
                <w:color w:val="212529"/>
                <w:sz w:val="18"/>
              </w:rPr>
              <w:t>Brokerage Name / Agencia:</w:t>
            </w:r>
          </w:p>
        </w:tc>
        <w:tc>
          <w:tcPr>
            <w:tcW w:type="dxa" w:w="6192"/>
            <w:shd w:fill="F8F9FA"/>
          </w:tcPr>
          <w:p>
            <w:r>
              <w:rPr>
                <w:color w:val="212529"/>
                <w:sz w:val="18"/>
              </w:rPr>
            </w:r>
          </w:p>
        </w:tc>
      </w:tr>
      <w:tr>
        <w:tc>
          <w:tcPr>
            <w:tcW w:type="dxa" w:w="3168"/>
            <w:shd w:fill="F8F9FA"/>
          </w:tcPr>
          <w:p>
            <w:r>
              <w:rPr>
                <w:b/>
                <w:color w:val="212529"/>
                <w:sz w:val="18"/>
              </w:rPr>
              <w:t>Broker of Record / Corredor:</w:t>
            </w:r>
          </w:p>
        </w:tc>
        <w:tc>
          <w:tcPr>
            <w:tcW w:type="dxa" w:w="6192"/>
            <w:shd w:fill="F8F9FA"/>
          </w:tcPr>
          <w:p>
            <w:r>
              <w:rPr>
                <w:color w:val="212529"/>
                <w:sz w:val="18"/>
              </w:rPr>
            </w:r>
          </w:p>
        </w:tc>
      </w:tr>
      <w:tr>
        <w:tc>
          <w:tcPr>
            <w:tcW w:type="dxa" w:w="3168"/>
            <w:shd w:fill="F8F9FA"/>
          </w:tcPr>
          <w:p>
            <w:r>
              <w:rPr>
                <w:b/>
                <w:color w:val="212529"/>
                <w:sz w:val="18"/>
              </w:rPr>
              <w:t>Office Address / Dirección:</w:t>
            </w:r>
          </w:p>
        </w:tc>
        <w:tc>
          <w:tcPr>
            <w:tcW w:type="dxa" w:w="6192"/>
            <w:shd w:fill="F8F9FA"/>
          </w:tcPr>
          <w:p>
            <w:r>
              <w:rPr>
                <w:color w:val="212529"/>
                <w:sz w:val="18"/>
              </w:rPr>
            </w:r>
          </w:p>
        </w:tc>
      </w:tr>
      <w:tr>
        <w:tc>
          <w:tcPr>
            <w:tcW w:type="dxa" w:w="3168"/>
            <w:shd w:fill="F8F9FA"/>
          </w:tcPr>
          <w:p>
            <w:r>
              <w:rPr>
                <w:b/>
                <w:color w:val="212529"/>
                <w:sz w:val="18"/>
              </w:rPr>
              <w:t>Broker License # / Licencia:</w:t>
            </w:r>
          </w:p>
        </w:tc>
        <w:tc>
          <w:tcPr>
            <w:tcW w:type="dxa" w:w="6192"/>
            <w:shd w:fill="F8F9FA"/>
          </w:tcPr>
          <w:p>
            <w:r>
              <w:rPr>
                <w:color w:val="212529"/>
                <w:sz w:val="18"/>
              </w:rPr>
            </w:r>
          </w:p>
        </w:tc>
      </w:tr>
      <w:tr>
        <w:tc>
          <w:tcPr>
            <w:tcW w:type="dxa" w:w="3168"/>
            <w:shd w:fill="F8F9FA"/>
          </w:tcPr>
          <w:p>
            <w:r>
              <w:rPr>
                <w:b/>
                <w:color w:val="212529"/>
                <w:sz w:val="18"/>
              </w:rPr>
              <w:t>Contact Email / Correo:</w:t>
            </w:r>
          </w:p>
        </w:tc>
        <w:tc>
          <w:tcPr>
            <w:tcW w:type="dxa" w:w="6192"/>
            <w:shd w:fill="F8F9FA"/>
          </w:tcPr>
          <w:p>
            <w:r>
              <w:rPr>
                <w:color w:val="212529"/>
                <w:sz w:val="18"/>
              </w:rPr>
            </w:r>
          </w:p>
        </w:tc>
      </w:tr>
      <w:tr>
        <w:tc>
          <w:tcPr>
            <w:tcW w:type="dxa" w:w="3168"/>
            <w:shd w:fill="F8F9FA"/>
          </w:tcPr>
          <w:p>
            <w:r>
              <w:rPr>
                <w:b/>
                <w:color w:val="212529"/>
                <w:sz w:val="18"/>
              </w:rPr>
              <w:t>Contact Phone / Teléfono:</w:t>
            </w:r>
          </w:p>
        </w:tc>
        <w:tc>
          <w:tcPr>
            <w:tcW w:type="dxa" w:w="6192"/>
            <w:shd w:fill="F8F9FA"/>
          </w:tcPr>
          <w:p>
            <w:r>
              <w:rPr>
                <w:color w:val="212529"/>
                <w:sz w:val="18"/>
              </w:rPr>
            </w:r>
          </w:p>
        </w:tc>
      </w:tr>
    </w:tbl>
    <w:p>
      <w:pPr>
        <w:spacing w:before="240" w:after="80"/>
      </w:pPr>
      <w:r>
        <w:rPr>
          <w:b/>
          <w:color w:val="003DA5"/>
          <w:sz w:val="22"/>
        </w:rPr>
        <w:t>BROKER B — Receiving Brokerage (Spain)</w:t>
      </w:r>
      <w:r>
        <w:rPr>
          <w:color w:val="6C757D"/>
          <w:sz w:val="22"/>
        </w:rPr>
        <w:t xml:space="preserve"> / </w:t>
      </w:r>
      <w:r>
        <w:rPr>
          <w:b/>
          <w:color w:val="E11B22"/>
          <w:sz w:val="22"/>
        </w:rPr>
        <w:t>CORREDOR B — Agencia Receptora</w:t>
      </w:r>
    </w:p>
    <w:tbl>
      <w:tblPr>
        <w:tblW w:type="auto" w:w="0"/>
        <w:tblLook w:firstColumn="1" w:firstRow="1" w:lastColumn="0" w:lastRow="0" w:noHBand="0" w:noVBand="1" w:val="04A0"/>
      </w:tblPr>
      <w:tblGrid>
        <w:gridCol w:w="3168"/>
        <w:gridCol w:w="6192"/>
      </w:tblGrid>
      <w:tr>
        <w:tc>
          <w:tcPr>
            <w:tcW w:type="dxa" w:w="3168"/>
            <w:shd w:fill="F8F9FA"/>
          </w:tcPr>
          <w:p>
            <w:r>
              <w:rPr>
                <w:b/>
                <w:color w:val="212529"/>
                <w:sz w:val="18"/>
              </w:rPr>
              <w:t>Brokerage Name / Agencia:</w:t>
            </w:r>
          </w:p>
        </w:tc>
        <w:tc>
          <w:tcPr>
            <w:tcW w:type="dxa" w:w="6192"/>
            <w:shd w:fill="F8F9FA"/>
          </w:tcPr>
          <w:p>
            <w:r>
              <w:rPr>
                <w:color w:val="212529"/>
                <w:sz w:val="18"/>
              </w:rPr>
              <w:t>Megagestión Servicios Inmobiliarios</w:t>
            </w:r>
          </w:p>
        </w:tc>
      </w:tr>
      <w:tr>
        <w:tc>
          <w:tcPr>
            <w:tcW w:type="dxa" w:w="3168"/>
            <w:shd w:fill="F8F9FA"/>
          </w:tcPr>
          <w:p>
            <w:r>
              <w:rPr>
                <w:b/>
                <w:color w:val="212529"/>
                <w:sz w:val="18"/>
              </w:rPr>
              <w:t>Broker of Record / Corredor:</w:t>
            </w:r>
          </w:p>
        </w:tc>
        <w:tc>
          <w:tcPr>
            <w:tcW w:type="dxa" w:w="6192"/>
            <w:shd w:fill="F8F9FA"/>
          </w:tcPr>
          <w:p>
            <w:r>
              <w:rPr>
                <w:color w:val="212529"/>
                <w:sz w:val="18"/>
              </w:rPr>
              <w:t>José Martínez Sánchez</w:t>
            </w:r>
          </w:p>
        </w:tc>
      </w:tr>
      <w:tr>
        <w:tc>
          <w:tcPr>
            <w:tcW w:type="dxa" w:w="3168"/>
            <w:shd w:fill="F8F9FA"/>
          </w:tcPr>
          <w:p>
            <w:r>
              <w:rPr>
                <w:b/>
                <w:color w:val="212529"/>
                <w:sz w:val="18"/>
              </w:rPr>
              <w:t>Office Address / Dirección:</w:t>
            </w:r>
          </w:p>
        </w:tc>
        <w:tc>
          <w:tcPr>
            <w:tcW w:type="dxa" w:w="6192"/>
            <w:shd w:fill="F8F9FA"/>
          </w:tcPr>
          <w:p>
            <w:r>
              <w:rPr>
                <w:color w:val="212529"/>
                <w:sz w:val="18"/>
              </w:rPr>
              <w:t>Carrer Conrado del Campo 16, 03204, Elche (Alicante), Spain</w:t>
            </w:r>
          </w:p>
        </w:tc>
      </w:tr>
      <w:tr>
        <w:tc>
          <w:tcPr>
            <w:tcW w:type="dxa" w:w="3168"/>
            <w:shd w:fill="F8F9FA"/>
          </w:tcPr>
          <w:p>
            <w:r>
              <w:rPr>
                <w:b/>
                <w:color w:val="212529"/>
                <w:sz w:val="18"/>
              </w:rPr>
              <w:t>CIF (Tax ID) / NIF:</w:t>
            </w:r>
          </w:p>
        </w:tc>
        <w:tc>
          <w:tcPr>
            <w:tcW w:type="dxa" w:w="6192"/>
            <w:shd w:fill="F8F9FA"/>
          </w:tcPr>
          <w:p>
            <w:r>
              <w:rPr>
                <w:color w:val="212529"/>
                <w:sz w:val="18"/>
              </w:rPr>
              <w:t>B-54829767</w:t>
            </w:r>
          </w:p>
        </w:tc>
      </w:tr>
      <w:tr>
        <w:tc>
          <w:tcPr>
            <w:tcW w:type="dxa" w:w="3168"/>
            <w:shd w:fill="F8F9FA"/>
          </w:tcPr>
          <w:p>
            <w:r>
              <w:rPr>
                <w:b/>
                <w:color w:val="212529"/>
                <w:sz w:val="18"/>
              </w:rPr>
              <w:t>Contact Email / Correo:</w:t>
            </w:r>
          </w:p>
        </w:tc>
        <w:tc>
          <w:tcPr>
            <w:tcW w:type="dxa" w:w="6192"/>
            <w:shd w:fill="F8F9FA"/>
          </w:tcPr>
          <w:p>
            <w:r>
              <w:rPr>
                <w:color w:val="212529"/>
                <w:sz w:val="18"/>
              </w:rPr>
              <w:t>jose.martinez@remax.es</w:t>
            </w:r>
          </w:p>
        </w:tc>
      </w:tr>
      <w:tr>
        <w:tc>
          <w:tcPr>
            <w:tcW w:type="dxa" w:w="3168"/>
            <w:shd w:fill="F8F9FA"/>
          </w:tcPr>
          <w:p>
            <w:r>
              <w:rPr>
                <w:b/>
                <w:color w:val="212529"/>
                <w:sz w:val="18"/>
              </w:rPr>
              <w:t>Office Phone / Teléfono:</w:t>
            </w:r>
          </w:p>
        </w:tc>
        <w:tc>
          <w:tcPr>
            <w:tcW w:type="dxa" w:w="6192"/>
            <w:shd w:fill="F8F9FA"/>
          </w:tcPr>
          <w:p>
            <w:r>
              <w:rPr>
                <w:color w:val="212529"/>
                <w:sz w:val="18"/>
              </w:rPr>
              <w:t>+34 966 665 651</w:t>
            </w:r>
          </w:p>
        </w:tc>
      </w:tr>
    </w:tbl>
    <w:p>
      <w:pPr>
        <w:spacing w:before="200" w:after="40"/>
      </w:pPr>
      <w:r>
        <w:rPr>
          <w:b/>
          <w:color w:val="003DA5"/>
          <w:sz w:val="20"/>
        </w:rPr>
        <w:t>1. Purpose &amp; Scope / Objeto y Alcance</w:t>
      </w:r>
    </w:p>
    <w:p>
      <w:pPr>
        <w:spacing w:after="80"/>
        <w:jc w:val="both"/>
      </w:pPr>
      <w:r>
        <w:rPr>
          <w:color w:val="212529"/>
          <w:sz w:val="19"/>
        </w:rPr>
        <w:t>The purpose of this Master Agreement is to establish the general terms under which Broker A and its licensed real estate agents may refer prospective international buyers to Broker B for the purchase of real estate in Spain, specifically within the provinces of Alicante and the Costa Blanca region. This agreement covers all future referrals made by Broker A's agents during the term of this agreement. Individual client referrals shall be documented separately in the attached Annex.</w:t>
      </w:r>
    </w:p>
    <w:p>
      <w:pPr>
        <w:spacing w:after="120"/>
        <w:jc w:val="both"/>
      </w:pPr>
      <w:r>
        <w:rPr>
          <w:i/>
          <w:color w:val="6C757D"/>
          <w:sz w:val="18"/>
        </w:rPr>
        <w:t>El objeto de este Acuerdo Marco es establecer las condiciones generales bajo las cuales el Corredor A y sus agentes inmobiliarios licenciados podrán referir compradores internacionales potenciales al Corredor B para la compra de inmuebles en España, específicamente en la provincia de Alicante y la zona de la Costa Blanca. Este acuerdo cubre todos los referidos futuros realizados por los agentes del Corredor A durante la vigencia del presente acuerdo. Cada referido individual se documentará por separado en el Anexo adjunto.</w:t>
      </w:r>
    </w:p>
    <w:p>
      <w:pPr>
        <w:spacing w:before="200" w:after="40"/>
      </w:pPr>
      <w:r>
        <w:rPr>
          <w:b/>
          <w:color w:val="003DA5"/>
          <w:sz w:val="20"/>
        </w:rPr>
        <w:t>2. B2B Relationship / Relación Comercial B2B</w:t>
      </w:r>
    </w:p>
    <w:p>
      <w:pPr>
        <w:spacing w:after="80"/>
        <w:jc w:val="both"/>
      </w:pPr>
      <w:r>
        <w:rPr>
          <w:color w:val="212529"/>
          <w:sz w:val="19"/>
        </w:rPr>
        <w:t>This agreement represents a business-to-business (B2B) marketing and referral contract. Broker A is a legally licensed brokerage in its jurisdiction of origin (United States or Canada) and Broker B is a licensed real estate entity in Spain. As this is an international service referral, Broker A and its agents do not require licensing or registration in Spain to receive this B2B service fee.</w:t>
      </w:r>
    </w:p>
    <w:p>
      <w:pPr>
        <w:spacing w:after="120"/>
        <w:jc w:val="both"/>
      </w:pPr>
      <w:r>
        <w:rPr>
          <w:i/>
          <w:color w:val="6C757D"/>
          <w:sz w:val="18"/>
        </w:rPr>
        <w:t>Este acuerdo representa un contrato de marketing y referido de empresa a empresa (B2B). El Corredor A es una agencia legalmente autorizada en su jurisdicción de origen (EE. UU. o Canadá) y el Corredor B es una entidad inmobiliaria con licencia en España. Al tratarse de un servicio de referido internacional, el Corredor A y sus agentes no requieren licencia ni registro en España para percibir estos honorarios.</w:t>
      </w:r>
    </w:p>
    <w:p>
      <w:pPr>
        <w:spacing w:before="200" w:after="40"/>
      </w:pPr>
      <w:r>
        <w:rPr>
          <w:b/>
          <w:color w:val="003DA5"/>
          <w:sz w:val="20"/>
        </w:rPr>
        <w:t>3. Commission Structure / Estructura de Comisión</w:t>
      </w:r>
    </w:p>
    <w:p>
      <w:pPr>
        <w:spacing w:after="80"/>
        <w:jc w:val="both"/>
      </w:pPr>
      <w:r>
        <w:rPr>
          <w:color w:val="212529"/>
          <w:sz w:val="19"/>
        </w:rPr>
        <w:t>For every referred client whose property acquisition in Spain is successfully closed, Broker B shall pay Broker A a referral fee of 25% (twenty-five percent) of the gross buyer-side commission received by Broker B on that transaction. This rate applies uniformly to all referrals made under this agreement unless modified in a specific Annex.</w:t>
      </w:r>
    </w:p>
    <w:p>
      <w:pPr>
        <w:spacing w:after="120"/>
        <w:jc w:val="both"/>
      </w:pPr>
      <w:r>
        <w:rPr>
          <w:i/>
          <w:color w:val="6C757D"/>
          <w:sz w:val="18"/>
        </w:rPr>
        <w:t>Por cada cliente referido cuya adquisición de propiedad en España se cierre exitosamente, el Corredor B pagará al Corredor A una comisión de referido del 25% (veinticinco por ciento) de la comisión bruta del lado comprador cobrada por el Corredor B en dicha transacción. Este porcentaje se aplica de manera uniforme a todos los referidos realizados bajo este acuerdo, salvo que se modifique en un Anexo específico.</w:t>
      </w:r>
    </w:p>
    <w:p>
      <w:pPr>
        <w:spacing w:before="80" w:after="160"/>
        <w:ind w:left="283"/>
        <w:pBdr>
          <w:left w:val="single" w:sz="12" w:space="4" w:color="003DA5"/>
        </w:pBdr>
      </w:pPr>
      <w:r>
        <w:rPr>
          <w:b/>
          <w:sz w:val="18"/>
        </w:rPr>
        <w:t>💡 Example / Ejemplo (25% Split):</w:t>
        <w:br/>
      </w:r>
      <w:r>
        <w:rPr>
          <w:color w:val="6C757D"/>
          <w:sz w:val="18"/>
        </w:rPr>
        <w:t>• Purchase Price / Precio: €400,000</w:t>
        <w:br/>
        <w:t>• Gross buyer commission (5%) / Comisión bruta: €20,000</w:t>
        <w:br/>
        <w:t>• Referral fee to Broker A (25%) / Pago al Corredor A: €5,000 EUR</w:t>
      </w:r>
    </w:p>
    <w:p>
      <w:pPr>
        <w:spacing w:before="200" w:after="40"/>
      </w:pPr>
      <w:r>
        <w:rPr>
          <w:b/>
          <w:color w:val="003DA5"/>
          <w:sz w:val="20"/>
        </w:rPr>
        <w:t>4. Broker Compensation / Compensación entre Corredores</w:t>
      </w:r>
    </w:p>
    <w:p>
      <w:pPr>
        <w:spacing w:after="80"/>
        <w:jc w:val="both"/>
      </w:pPr>
      <w:r>
        <w:rPr>
          <w:color w:val="212529"/>
          <w:sz w:val="19"/>
        </w:rPr>
        <w:t>All referral fees are paid strictly Broker-to-Broker. Broker A is solely responsible for any internal distribution of the commission within its brokerage. Broker B is responsible for any internal distribution within its brokerage.</w:t>
      </w:r>
    </w:p>
    <w:p>
      <w:pPr>
        <w:spacing w:after="120"/>
        <w:jc w:val="both"/>
      </w:pPr>
      <w:r>
        <w:rPr>
          <w:i/>
          <w:color w:val="6C757D"/>
          <w:sz w:val="18"/>
        </w:rPr>
        <w:t>Todos los honorarios de referido se pagan estrictamente de Corredor a Corredor. El Corredor A es el único responsable de cualquier distribución interna de la comisión dentro de su agencia. El Corredor B es responsable de cualquier distribución interna dentro de su agencia.</w:t>
      </w:r>
    </w:p>
    <w:p>
      <w:pPr>
        <w:spacing w:before="200" w:after="40"/>
      </w:pPr>
      <w:r>
        <w:rPr>
          <w:b/>
          <w:color w:val="003DA5"/>
          <w:sz w:val="20"/>
        </w:rPr>
        <w:t>5. Client Lock Period / Vigencia del Referido</w:t>
      </w:r>
    </w:p>
    <w:p>
      <w:pPr>
        <w:spacing w:after="80"/>
        <w:jc w:val="both"/>
      </w:pPr>
      <w:r>
        <w:rPr>
          <w:color w:val="212529"/>
          <w:sz w:val="19"/>
        </w:rPr>
        <w:t>Each individual referral documented in an Annex is protected for a period of 24 months from the date of registration. Broker A is entitled to the referral fee for any transaction completed by that referred client in Spain during this period.</w:t>
      </w:r>
    </w:p>
    <w:p>
      <w:pPr>
        <w:spacing w:after="120"/>
        <w:jc w:val="both"/>
      </w:pPr>
      <w:r>
        <w:rPr>
          <w:i/>
          <w:color w:val="6C757D"/>
          <w:sz w:val="18"/>
        </w:rPr>
        <w:t>Cada referido individual documentado en un Anexo estará protegido durante un periodo de 24 meses desde la fecha de registro. El Corredor A tendrá derecho a la comisión de referido por cualquier transacción completada por dicho cliente en España durante este periodo.</w:t>
      </w:r>
    </w:p>
    <w:p>
      <w:pPr>
        <w:spacing w:before="200" w:after="40"/>
      </w:pPr>
      <w:r>
        <w:rPr>
          <w:b/>
          <w:color w:val="003DA5"/>
          <w:sz w:val="20"/>
        </w:rPr>
        <w:t>6. Settlement &amp; Tax Compliance / Liquidación y Cumplimiento Fiscal</w:t>
      </w:r>
    </w:p>
    <w:p>
      <w:pPr>
        <w:spacing w:after="80"/>
        <w:jc w:val="both"/>
      </w:pPr>
      <w:r>
        <w:rPr>
          <w:color w:val="212529"/>
          <w:sz w:val="19"/>
        </w:rPr>
        <w:t>Referral fees shall be wired to Broker A within 30 business days of transaction closing and receipt of clear funds by Broker B. US-based brokerages must provide a completed IRS Form W-8BEN-E (or Canadian equivalent) and a commercial invoice prior to payment to prevent local Spanish withholding tax.</w:t>
      </w:r>
    </w:p>
    <w:p>
      <w:pPr>
        <w:spacing w:after="120"/>
        <w:jc w:val="both"/>
      </w:pPr>
      <w:r>
        <w:rPr>
          <w:i/>
          <w:color w:val="6C757D"/>
          <w:sz w:val="18"/>
        </w:rPr>
        <w:t>Los honorarios de referido se transferirán al Corredor A dentro de los 30 días hábiles posteriores al cierre de la transacción y cobro de los fondos por el Corredor B. Las agencias de EE. UU. deben entregar el formulario IRS W-8BEN-E (o equivalente canadiense) y una factura comercial antes del pago para evitar retenciones fiscales en España.</w:t>
      </w:r>
    </w:p>
    <w:p>
      <w:pPr>
        <w:spacing w:before="200" w:after="40"/>
      </w:pPr>
      <w:r>
        <w:rPr>
          <w:b/>
          <w:color w:val="003DA5"/>
          <w:sz w:val="20"/>
        </w:rPr>
        <w:t>7. Duration &amp; Termination / Vigencia y Resolución</w:t>
      </w:r>
    </w:p>
    <w:p>
      <w:pPr>
        <w:spacing w:after="80"/>
        <w:jc w:val="both"/>
      </w:pPr>
      <w:r>
        <w:rPr>
          <w:color w:val="212529"/>
          <w:sz w:val="19"/>
        </w:rPr>
        <w:t>This Agreement is effective for an initial period of 12 months from the date of signature, automatically renewing for successive 12-month periods unless either party provides 60 days' written notice of termination. Termination shall not affect referral rights on clients documented in existing Annexes.</w:t>
      </w:r>
    </w:p>
    <w:p>
      <w:pPr>
        <w:spacing w:after="120"/>
        <w:jc w:val="both"/>
      </w:pPr>
      <w:r>
        <w:rPr>
          <w:i/>
          <w:color w:val="6C757D"/>
          <w:sz w:val="18"/>
        </w:rPr>
        <w:t>Este Acuerdo tendrá una vigencia inicial de 12 meses desde la fecha de firma, renovándose automáticamente por períodos sucesivos de 12 meses salvo que cualquiera de las partes comunique su resolución con un preaviso de 60 días por escrito. La resolución no afectará los derechos de referido sobre clientes documentados en Anexos existentes.</w:t>
      </w:r>
    </w:p>
    <w:p>
      <w:pPr>
        <w:spacing w:before="200" w:after="40"/>
      </w:pPr>
      <w:r>
        <w:rPr>
          <w:b/>
          <w:color w:val="003DA5"/>
          <w:sz w:val="20"/>
        </w:rPr>
        <w:t>8. Governing Law / Ley Aplicable</w:t>
      </w:r>
    </w:p>
    <w:p>
      <w:pPr>
        <w:spacing w:after="80"/>
        <w:jc w:val="both"/>
      </w:pPr>
      <w:r>
        <w:rPr>
          <w:color w:val="212529"/>
          <w:sz w:val="19"/>
        </w:rPr>
        <w:t>This agreement is governed by the laws of Spain. Any disputes shall be submitted exclusively to the Courts of Alicante, Spain.</w:t>
      </w:r>
    </w:p>
    <w:p>
      <w:pPr>
        <w:spacing w:after="120"/>
        <w:jc w:val="both"/>
      </w:pPr>
      <w:r>
        <w:rPr>
          <w:i/>
          <w:color w:val="6C757D"/>
          <w:sz w:val="18"/>
        </w:rPr>
        <w:t>Este acuerdo se rige por las leyes de España. Cualquier controversia se someterá exclusivamente a la jurisdicción de los Tribunales de Alicante, España.</w:t>
      </w:r>
    </w:p>
    <w:p>
      <w:pPr>
        <w:spacing w:before="240" w:after="80"/>
      </w:pPr>
      <w:r>
        <w:rPr>
          <w:b/>
          <w:color w:val="003DA5"/>
          <w:sz w:val="22"/>
        </w:rPr>
        <w:t>SIGNATURES</w:t>
      </w:r>
      <w:r>
        <w:rPr>
          <w:color w:val="6C757D"/>
          <w:sz w:val="22"/>
        </w:rPr>
        <w:t xml:space="preserve"> / </w:t>
      </w:r>
      <w:r>
        <w:rPr>
          <w:b/>
          <w:color w:val="E11B22"/>
          <w:sz w:val="22"/>
        </w:rPr>
        <w:t>FIRMAS</w:t>
      </w:r>
    </w:p>
    <w:p>
      <w:pPr>
        <w:spacing w:before="280"/>
      </w:pPr>
      <w:r>
        <w:rPr>
          <w:b/>
          <w:color w:val="003DA5"/>
          <w:sz w:val="18"/>
        </w:rPr>
        <w:t>BROKER A — Referring Brokerage / Representante Corredor A</w:t>
      </w:r>
    </w:p>
    <w:p>
      <w:pPr>
        <w:spacing w:before="480"/>
        <w:pBdr>
          <w:bottom w:val="single" w:sz="4" w:space="1" w:color="212529"/>
        </w:pBdr>
      </w:pPr>
    </w:p>
    <w:p>
      <w:pPr>
        <w:spacing w:after="20"/>
      </w:pPr>
      <w:r>
        <w:rPr>
          <w:color w:val="6C757D"/>
          <w:sz w:val="18"/>
        </w:rPr>
        <w:t xml:space="preserve">Signature / Firma:  </w:t>
      </w:r>
    </w:p>
    <w:p>
      <w:pPr>
        <w:spacing w:after="20"/>
      </w:pPr>
      <w:r>
        <w:rPr>
          <w:color w:val="6C757D"/>
          <w:sz w:val="18"/>
        </w:rPr>
        <w:t xml:space="preserve">Print Name / Nombre:  </w:t>
      </w:r>
    </w:p>
    <w:p>
      <w:pPr>
        <w:spacing w:after="20"/>
      </w:pPr>
      <w:r>
        <w:rPr>
          <w:color w:val="6C757D"/>
          <w:sz w:val="18"/>
        </w:rPr>
        <w:t xml:space="preserve">Title / Cargo:  </w:t>
      </w:r>
    </w:p>
    <w:p>
      <w:pPr>
        <w:spacing w:after="20"/>
      </w:pPr>
      <w:r>
        <w:rPr>
          <w:color w:val="6C757D"/>
          <w:sz w:val="18"/>
        </w:rPr>
        <w:t xml:space="preserve">Date / Fecha:  </w:t>
      </w:r>
    </w:p>
    <w:p>
      <w:pPr>
        <w:spacing w:before="280"/>
      </w:pPr>
      <w:r>
        <w:rPr>
          <w:b/>
          <w:color w:val="003DA5"/>
          <w:sz w:val="18"/>
        </w:rPr>
        <w:t>BROKER B — Megagestión / Representante Corredor B</w:t>
      </w:r>
    </w:p>
    <w:p>
      <w:pPr>
        <w:spacing w:before="480"/>
        <w:pBdr>
          <w:bottom w:val="single" w:sz="4" w:space="1" w:color="212529"/>
        </w:pBdr>
      </w:pPr>
    </w:p>
    <w:p>
      <w:pPr>
        <w:spacing w:after="20"/>
      </w:pPr>
      <w:r>
        <w:rPr>
          <w:color w:val="6C757D"/>
          <w:sz w:val="18"/>
        </w:rPr>
        <w:t xml:space="preserve">Signature / Firma:  </w:t>
      </w:r>
    </w:p>
    <w:p>
      <w:pPr>
        <w:spacing w:after="20"/>
      </w:pPr>
      <w:r>
        <w:rPr>
          <w:color w:val="6C757D"/>
          <w:sz w:val="18"/>
        </w:rPr>
        <w:t xml:space="preserve">Print Name / Nombre:  </w:t>
      </w:r>
      <w:r>
        <w:rPr>
          <w:b/>
          <w:color w:val="212529"/>
          <w:sz w:val="18"/>
        </w:rPr>
        <w:t>José Martínez Sánchez</w:t>
      </w:r>
    </w:p>
    <w:p>
      <w:pPr>
        <w:spacing w:after="20"/>
      </w:pPr>
      <w:r>
        <w:rPr>
          <w:color w:val="6C757D"/>
          <w:sz w:val="18"/>
        </w:rPr>
        <w:t xml:space="preserve">Title / Cargo:  </w:t>
      </w:r>
      <w:r>
        <w:rPr>
          <w:b/>
          <w:color w:val="212529"/>
          <w:sz w:val="18"/>
        </w:rPr>
        <w:t>Managing Broker / Corredor de la Oficina</w:t>
      </w:r>
    </w:p>
    <w:p>
      <w:pPr>
        <w:spacing w:after="20"/>
      </w:pPr>
      <w:r>
        <w:rPr>
          <w:color w:val="6C757D"/>
          <w:sz w:val="18"/>
        </w:rPr>
        <w:t xml:space="preserve">Date / Fecha:  </w:t>
      </w:r>
    </w:p>
    <w:p>
      <w:pPr>
        <w:spacing w:before="400"/>
        <w:jc w:val="center"/>
        <w:pBdr>
          <w:top w:val="single" w:sz="4" w:space="4" w:color="DEE2E6"/>
        </w:pBdr>
      </w:pPr>
      <w:r>
        <w:rPr>
          <w:color w:val="6C757D"/>
          <w:sz w:val="15"/>
        </w:rPr>
        <w:t>Megagestión Servicios Inmobiliarios • Carrer Conrado del Campo 16, 03204, Elche (Alicante), Spain</w:t>
        <w:br/>
        <w:t>CIF: B-54829767 • jose.martinez@remax.es • +34 966 665 651</w:t>
        <w:br/>
        <w:t>© 2026 Megagestión Servicios Inmobiliarios. All Rights Reserved.</w:t>
      </w:r>
    </w:p>
    <w:p>
      <w:r>
        <w:br w:type="page"/>
      </w:r>
    </w:p>
    <w:tbl>
      <w:tblPr>
        <w:tblW w:type="auto" w:w="0"/>
        <w:jc w:val="center"/>
        <w:tblLook w:firstColumn="1" w:firstRow="1" w:lastColumn="0" w:lastRow="0" w:noHBand="0" w:noVBand="1" w:val="04A0"/>
      </w:tblPr>
      <w:tblGrid>
        <w:gridCol w:w="3168"/>
        <w:gridCol w:w="6192"/>
      </w:tblGrid>
      <w:tr>
        <w:tc>
          <w:tcPr>
            <w:tcW w:type="dxa" w:w="4986"/>
            <w:vAlign w:val="center"/>
            <w:tcBorders>
              <w:top w:val="none" w:sz="0" w:space="0" w:color="auto"/>
              <w:left w:val="none" w:sz="0" w:space="0" w:color="auto"/>
              <w:bottom w:val="none" w:sz="0" w:space="0" w:color="auto"/>
              <w:right w:val="none" w:sz="0" w:space="0" w:color="auto"/>
            </w:tcBorders>
          </w:tcPr>
          <w:p>
            <w:r>
              <w:drawing>
                <wp:inline xmlns:a="http://schemas.openxmlformats.org/drawingml/2006/main" xmlns:pic="http://schemas.openxmlformats.org/drawingml/2006/picture">
                  <wp:extent cx="1188720" cy="594360"/>
                  <wp:docPr id="2" name="Picture 2"/>
                  <wp:cNvGraphicFramePr>
                    <a:graphicFrameLocks noChangeAspect="1"/>
                  </wp:cNvGraphicFramePr>
                  <a:graphic>
                    <a:graphicData uri="http://schemas.openxmlformats.org/drawingml/2006/picture">
                      <pic:pic>
                        <pic:nvPicPr>
                          <pic:cNvPr id="0" name="remax_logo.png"/>
                          <pic:cNvPicPr/>
                        </pic:nvPicPr>
                        <pic:blipFill>
                          <a:blip r:embed="rId9"/>
                          <a:stretch>
                            <a:fillRect/>
                          </a:stretch>
                        </pic:blipFill>
                        <pic:spPr>
                          <a:xfrm>
                            <a:off x="0" y="0"/>
                            <a:ext cx="1188720" cy="594360"/>
                          </a:xfrm>
                          <a:prstGeom prst="rect"/>
                        </pic:spPr>
                      </pic:pic>
                    </a:graphicData>
                  </a:graphic>
                </wp:inline>
              </w:drawing>
            </w:r>
          </w:p>
        </w:tc>
        <w:tc>
          <w:tcPr>
            <w:tcW w:type="dxa" w:w="4986"/>
            <w:vAlign w:val="center"/>
            <w:tcBorders>
              <w:top w:val="none" w:sz="0" w:space="0" w:color="auto"/>
              <w:left w:val="none" w:sz="0" w:space="0" w:color="auto"/>
              <w:bottom w:val="none" w:sz="0" w:space="0" w:color="auto"/>
              <w:right w:val="none" w:sz="0" w:space="0" w:color="auto"/>
            </w:tcBorders>
          </w:tcPr>
          <w:p>
            <w:pPr>
              <w:jc w:val="right"/>
            </w:pPr>
            <w:r>
              <w:rPr>
                <w:b/>
                <w:color w:val="003DA5"/>
                <w:sz w:val="24"/>
              </w:rPr>
              <w:t>ANNEX / ANEXO</w:t>
            </w:r>
          </w:p>
          <w:p>
            <w:pPr>
              <w:jc w:val="right"/>
            </w:pPr>
            <w:r>
              <w:rPr>
                <w:color w:val="6C757D"/>
                <w:sz w:val="16"/>
              </w:rPr>
              <w:t>Individual Client Referral / Ficha de Referido Individual</w:t>
            </w:r>
          </w:p>
        </w:tc>
      </w:tr>
    </w:tbl>
    <w:p>
      <w:pPr>
        <w:spacing w:before="20" w:after="80"/>
        <w:pBdr>
          <w:bottom w:val="single" w:sz="4" w:space="1" w:color="003DA5"/>
        </w:pBdr>
      </w:pPr>
    </w:p>
    <w:p>
      <w:pPr>
        <w:spacing w:after="60"/>
      </w:pPr>
      <w:r>
        <w:rPr>
          <w:b/>
          <w:color w:val="003DA5"/>
          <w:sz w:val="16"/>
        </w:rPr>
        <w:t>Referral # / Nº: ______________    Date / Fecha: ______________    Master Agreement date / Fecha Acuerdo Marco: ____/____/________</w:t>
      </w:r>
    </w:p>
    <w:p>
      <w:pPr>
        <w:spacing w:after="100"/>
        <w:jc w:val="both"/>
      </w:pPr>
      <w:r>
        <w:rPr>
          <w:i/>
          <w:color w:val="6C757D"/>
          <w:sz w:val="15"/>
        </w:rPr>
        <w:t>This Annex is subject to the Master Referral Agreement. The referral is protected for 24 months. / Este Anexo está sujeto al Acuerdo Marco. El referido queda protegido durante 24 meses.</w:t>
      </w:r>
    </w:p>
    <w:p>
      <w:pPr>
        <w:spacing w:before="120" w:after="40"/>
      </w:pPr>
      <w:r>
        <w:rPr>
          <w:b/>
          <w:color w:val="003DA5"/>
          <w:sz w:val="18"/>
        </w:rPr>
        <w:t>Prospect / Cliente Referido</w:t>
      </w:r>
    </w:p>
    <w:tbl>
      <w:tblPr>
        <w:tblW w:type="auto" w:w="0"/>
        <w:tblLook w:firstColumn="1" w:firstRow="1" w:lastColumn="0" w:lastRow="0" w:noHBand="0" w:noVBand="1" w:val="04A0"/>
      </w:tblPr>
      <w:tblGrid>
        <w:gridCol w:w="2592"/>
        <w:gridCol w:w="6768"/>
      </w:tblGrid>
      <w:tr>
        <w:tc>
          <w:tcPr>
            <w:tcW w:type="dxa" w:w="2592"/>
            <w:shd w:fill="F8F9FA"/>
          </w:tcPr>
          <w:p>
            <w:pPr>
              <w:spacing w:after="0" w:before="0"/>
            </w:pPr>
            <w:r>
              <w:rPr>
                <w:b/>
                <w:color w:val="212529"/>
                <w:sz w:val="16"/>
              </w:rPr>
              <w:t>Full Name / Nombre:</w:t>
            </w:r>
          </w:p>
        </w:tc>
        <w:tc>
          <w:tcPr>
            <w:tcW w:type="dxa" w:w="6768"/>
            <w:shd w:fill="F8F9FA"/>
          </w:tcPr>
          <w:p>
            <w:pPr>
              <w:spacing w:after="0" w:before="0"/>
            </w:pPr>
            <w:r>
              <w:rPr>
                <w:color w:val="212529"/>
                <w:sz w:val="16"/>
              </w:rPr>
            </w:r>
          </w:p>
        </w:tc>
      </w:tr>
      <w:tr>
        <w:tc>
          <w:tcPr>
            <w:tcW w:type="dxa" w:w="2592"/>
            <w:shd w:fill="F8F9FA"/>
          </w:tcPr>
          <w:p>
            <w:pPr>
              <w:spacing w:after="0" w:before="0"/>
            </w:pPr>
            <w:r>
              <w:rPr>
                <w:b/>
                <w:color w:val="212529"/>
                <w:sz w:val="16"/>
              </w:rPr>
              <w:t>Email / Correo:</w:t>
            </w:r>
          </w:p>
        </w:tc>
        <w:tc>
          <w:tcPr>
            <w:tcW w:type="dxa" w:w="6768"/>
            <w:shd w:fill="F8F9FA"/>
          </w:tcPr>
          <w:p>
            <w:pPr>
              <w:spacing w:after="0" w:before="0"/>
            </w:pPr>
            <w:r>
              <w:rPr>
                <w:color w:val="212529"/>
                <w:sz w:val="16"/>
              </w:rPr>
            </w:r>
          </w:p>
        </w:tc>
      </w:tr>
      <w:tr>
        <w:tc>
          <w:tcPr>
            <w:tcW w:type="dxa" w:w="2592"/>
            <w:shd w:fill="F8F9FA"/>
          </w:tcPr>
          <w:p>
            <w:pPr>
              <w:spacing w:after="0" w:before="0"/>
            </w:pPr>
            <w:r>
              <w:rPr>
                <w:b/>
                <w:color w:val="212529"/>
                <w:sz w:val="16"/>
              </w:rPr>
              <w:t>Phone / Teléfono:</w:t>
            </w:r>
          </w:p>
        </w:tc>
        <w:tc>
          <w:tcPr>
            <w:tcW w:type="dxa" w:w="6768"/>
            <w:shd w:fill="F8F9FA"/>
          </w:tcPr>
          <w:p>
            <w:pPr>
              <w:spacing w:after="0" w:before="0"/>
            </w:pPr>
            <w:r>
              <w:rPr>
                <w:color w:val="212529"/>
                <w:sz w:val="16"/>
              </w:rPr>
            </w:r>
          </w:p>
        </w:tc>
      </w:tr>
      <w:tr>
        <w:tc>
          <w:tcPr>
            <w:tcW w:type="dxa" w:w="2592"/>
            <w:shd w:fill="F8F9FA"/>
          </w:tcPr>
          <w:p>
            <w:pPr>
              <w:spacing w:after="0" w:before="0"/>
            </w:pPr>
            <w:r>
              <w:rPr>
                <w:b/>
                <w:color w:val="212529"/>
                <w:sz w:val="16"/>
              </w:rPr>
              <w:t>Region / Región:</w:t>
            </w:r>
          </w:p>
        </w:tc>
        <w:tc>
          <w:tcPr>
            <w:tcW w:type="dxa" w:w="6768"/>
            <w:shd w:fill="F8F9FA"/>
          </w:tcPr>
          <w:p>
            <w:pPr>
              <w:spacing w:after="0" w:before="0"/>
            </w:pPr>
            <w:r>
              <w:rPr>
                <w:color w:val="212529"/>
                <w:sz w:val="16"/>
              </w:rPr>
              <w:t>Alicante Province / Costa Blanca</w:t>
            </w:r>
          </w:p>
        </w:tc>
      </w:tr>
      <w:tr>
        <w:tc>
          <w:tcPr>
            <w:tcW w:type="dxa" w:w="2592"/>
            <w:shd w:fill="F8F9FA"/>
          </w:tcPr>
          <w:p>
            <w:pPr>
              <w:spacing w:after="0" w:before="0"/>
            </w:pPr>
            <w:r>
              <w:rPr>
                <w:b/>
                <w:color w:val="212529"/>
                <w:sz w:val="16"/>
              </w:rPr>
              <w:t>Budget / Presupuesto:</w:t>
            </w:r>
          </w:p>
        </w:tc>
        <w:tc>
          <w:tcPr>
            <w:tcW w:type="dxa" w:w="6768"/>
            <w:shd w:fill="F8F9FA"/>
          </w:tcPr>
          <w:p>
            <w:pPr>
              <w:spacing w:after="0" w:before="0"/>
            </w:pPr>
            <w:r>
              <w:rPr>
                <w:color w:val="212529"/>
                <w:sz w:val="16"/>
              </w:rPr>
            </w:r>
          </w:p>
        </w:tc>
      </w:tr>
      <w:tr>
        <w:tc>
          <w:tcPr>
            <w:tcW w:type="dxa" w:w="2592"/>
            <w:shd w:fill="F8F9FA"/>
          </w:tcPr>
          <w:p>
            <w:pPr>
              <w:spacing w:after="0" w:before="0"/>
            </w:pPr>
            <w:r>
              <w:rPr>
                <w:b/>
                <w:color w:val="212529"/>
                <w:sz w:val="16"/>
              </w:rPr>
              <w:t>Property Type / Tipo:</w:t>
            </w:r>
          </w:p>
        </w:tc>
        <w:tc>
          <w:tcPr>
            <w:tcW w:type="dxa" w:w="6768"/>
            <w:shd w:fill="F8F9FA"/>
          </w:tcPr>
          <w:p>
            <w:pPr>
              <w:spacing w:after="0" w:before="0"/>
            </w:pPr>
            <w:r>
              <w:rPr>
                <w:color w:val="212529"/>
                <w:sz w:val="16"/>
              </w:rPr>
            </w:r>
          </w:p>
        </w:tc>
      </w:tr>
      <w:tr>
        <w:tc>
          <w:tcPr>
            <w:tcW w:type="dxa" w:w="2592"/>
            <w:shd w:fill="F8F9FA"/>
          </w:tcPr>
          <w:p>
            <w:pPr>
              <w:spacing w:after="0" w:before="0"/>
            </w:pPr>
            <w:r>
              <w:rPr>
                <w:b/>
                <w:color w:val="212529"/>
                <w:sz w:val="16"/>
              </w:rPr>
              <w:t>Notes / Notas:</w:t>
            </w:r>
          </w:p>
        </w:tc>
        <w:tc>
          <w:tcPr>
            <w:tcW w:type="dxa" w:w="6768"/>
            <w:shd w:fill="F8F9FA"/>
          </w:tcPr>
          <w:p>
            <w:pPr>
              <w:spacing w:after="0" w:before="0"/>
            </w:pPr>
            <w:r>
              <w:rPr>
                <w:color w:val="212529"/>
                <w:sz w:val="16"/>
              </w:rPr>
            </w:r>
          </w:p>
        </w:tc>
      </w:tr>
    </w:tbl>
    <w:p>
      <w:pPr>
        <w:spacing w:before="120" w:after="60"/>
      </w:pPr>
      <w:r>
        <w:rPr>
          <w:b/>
          <w:color w:val="003DA5"/>
          <w:sz w:val="17"/>
        </w:rPr>
        <w:t xml:space="preserve">Referral Fee / Comisión: </w:t>
      </w:r>
      <w:r>
        <w:rPr>
          <w:sz w:val="17"/>
        </w:rPr>
        <w:t xml:space="preserve">As per Master Agreement: 25% / Según Acuerdo Marco: 25%   </w:t>
      </w:r>
      <w:r>
        <w:rPr>
          <w:color w:val="6C757D"/>
          <w:sz w:val="16"/>
        </w:rPr>
        <w:t>☐ Modified / Modificado: ________ %</w:t>
      </w:r>
    </w:p>
    <w:tbl>
      <w:tblPr>
        <w:tblW w:type="auto" w:w="0"/>
        <w:tblLook w:firstColumn="1" w:firstRow="1" w:lastColumn="0" w:lastRow="0" w:noHBand="0" w:noVBand="1" w:val="04A0"/>
      </w:tblPr>
      <w:tblGrid>
        <w:gridCol w:w="4680"/>
        <w:gridCol w:w="4680"/>
      </w:tblGrid>
      <w:tr>
        <w:tc>
          <w:tcPr>
            <w:tcW w:type="dxa" w:w="4986"/>
            <w:tcBorders>
              <w:top w:val="none" w:sz="0" w:space="0" w:color="auto"/>
              <w:left w:val="none" w:sz="0" w:space="0" w:color="auto"/>
              <w:bottom w:val="none" w:sz="0" w:space="0" w:color="auto"/>
              <w:right w:val="none" w:sz="0" w:space="0" w:color="auto"/>
            </w:tcBorders>
          </w:tcPr>
          <w:p>
            <w:pPr>
              <w:spacing w:before="160" w:after="0"/>
            </w:pPr>
            <w:r>
              <w:rPr>
                <w:b/>
                <w:color w:val="003DA5"/>
                <w:sz w:val="15"/>
              </w:rPr>
              <w:t>Broker A Representative / Representante Corredor A</w:t>
            </w:r>
          </w:p>
        </w:tc>
        <w:tc>
          <w:tcPr>
            <w:tcW w:type="dxa" w:w="4986"/>
            <w:tcBorders>
              <w:top w:val="none" w:sz="0" w:space="0" w:color="auto"/>
              <w:left w:val="none" w:sz="0" w:space="0" w:color="auto"/>
              <w:bottom w:val="none" w:sz="0" w:space="0" w:color="auto"/>
              <w:right w:val="none" w:sz="0" w:space="0" w:color="auto"/>
            </w:tcBorders>
          </w:tcPr>
          <w:p>
            <w:pPr>
              <w:spacing w:before="160" w:after="0"/>
            </w:pPr>
            <w:r>
              <w:rPr>
                <w:b/>
                <w:color w:val="003DA5"/>
                <w:sz w:val="15"/>
              </w:rPr>
              <w:t>Broker B Representative / Representante Corredor B</w:t>
            </w:r>
          </w:p>
        </w:tc>
      </w:tr>
      <w:tr>
        <w:tc>
          <w:tcPr>
            <w:tcW w:type="dxa" w:w="4986"/>
            <w:tcBorders>
              <w:top w:val="none" w:sz="0" w:space="0" w:color="auto"/>
              <w:left w:val="none" w:sz="0" w:space="0" w:color="auto"/>
              <w:bottom w:val="none" w:sz="0" w:space="0" w:color="auto"/>
              <w:right w:val="none" w:sz="0" w:space="0" w:color="auto"/>
            </w:tcBorders>
          </w:tcPr>
          <w:p>
            <w:pPr>
              <w:spacing w:before="320" w:after="0"/>
              <w:pBdr>
                <w:bottom w:val="single" w:sz="4" w:space="1" w:color="212529"/>
              </w:pBdr>
            </w:pPr>
          </w:p>
        </w:tc>
        <w:tc>
          <w:tcPr>
            <w:tcW w:type="dxa" w:w="4986"/>
            <w:tcBorders>
              <w:top w:val="none" w:sz="0" w:space="0" w:color="auto"/>
              <w:left w:val="none" w:sz="0" w:space="0" w:color="auto"/>
              <w:bottom w:val="none" w:sz="0" w:space="0" w:color="auto"/>
              <w:right w:val="none" w:sz="0" w:space="0" w:color="auto"/>
            </w:tcBorders>
          </w:tcPr>
          <w:p>
            <w:pPr>
              <w:spacing w:before="320" w:after="0"/>
              <w:pBdr>
                <w:bottom w:val="single" w:sz="4" w:space="1" w:color="212529"/>
              </w:pBdr>
            </w:pPr>
          </w:p>
        </w:tc>
      </w:tr>
      <w:tr>
        <w:tc>
          <w:tcPr>
            <w:tcW w:type="dxa" w:w="4986"/>
            <w:tcBorders>
              <w:top w:val="none" w:sz="0" w:space="0" w:color="auto"/>
              <w:left w:val="none" w:sz="0" w:space="0" w:color="auto"/>
              <w:bottom w:val="none" w:sz="0" w:space="0" w:color="auto"/>
              <w:right w:val="none" w:sz="0" w:space="0" w:color="auto"/>
            </w:tcBorders>
          </w:tcPr>
          <w:p>
            <w:pPr>
              <w:spacing w:after="0"/>
            </w:pPr>
            <w:r>
              <w:rPr>
                <w:color w:val="6C757D"/>
                <w:sz w:val="16"/>
              </w:rPr>
              <w:t xml:space="preserve">Name / Nombre: </w:t>
            </w:r>
          </w:p>
        </w:tc>
        <w:tc>
          <w:tcPr>
            <w:tcW w:type="dxa" w:w="4986"/>
            <w:tcBorders>
              <w:top w:val="none" w:sz="0" w:space="0" w:color="auto"/>
              <w:left w:val="none" w:sz="0" w:space="0" w:color="auto"/>
              <w:bottom w:val="none" w:sz="0" w:space="0" w:color="auto"/>
              <w:right w:val="none" w:sz="0" w:space="0" w:color="auto"/>
            </w:tcBorders>
          </w:tcPr>
          <w:p>
            <w:pPr>
              <w:spacing w:after="0"/>
            </w:pPr>
            <w:r>
              <w:rPr>
                <w:color w:val="6C757D"/>
                <w:sz w:val="16"/>
              </w:rPr>
              <w:t xml:space="preserve">Name / Nombre: </w:t>
            </w:r>
            <w:r>
              <w:rPr>
                <w:b/>
                <w:color w:val="212529"/>
                <w:sz w:val="16"/>
              </w:rPr>
              <w:t>José Martínez Sánchez</w:t>
            </w:r>
          </w:p>
        </w:tc>
      </w:tr>
      <w:tr>
        <w:tc>
          <w:tcPr>
            <w:tcW w:type="dxa" w:w="4986"/>
            <w:tcBorders>
              <w:top w:val="none" w:sz="0" w:space="0" w:color="auto"/>
              <w:left w:val="none" w:sz="0" w:space="0" w:color="auto"/>
              <w:bottom w:val="none" w:sz="0" w:space="0" w:color="auto"/>
              <w:right w:val="none" w:sz="0" w:space="0" w:color="auto"/>
            </w:tcBorders>
          </w:tcPr>
          <w:p>
            <w:pPr>
              <w:spacing w:after="0"/>
            </w:pPr>
            <w:r>
              <w:rPr>
                <w:color w:val="6C757D"/>
                <w:sz w:val="16"/>
              </w:rPr>
              <w:t>Date / Fecha: ____________________</w:t>
            </w:r>
          </w:p>
        </w:tc>
        <w:tc>
          <w:tcPr>
            <w:tcW w:type="dxa" w:w="4986"/>
            <w:tcBorders>
              <w:top w:val="none" w:sz="0" w:space="0" w:color="auto"/>
              <w:left w:val="none" w:sz="0" w:space="0" w:color="auto"/>
              <w:bottom w:val="none" w:sz="0" w:space="0" w:color="auto"/>
              <w:right w:val="none" w:sz="0" w:space="0" w:color="auto"/>
            </w:tcBorders>
          </w:tcPr>
          <w:p>
            <w:pPr>
              <w:spacing w:after="0"/>
            </w:pPr>
            <w:r>
              <w:rPr>
                <w:color w:val="6C757D"/>
                <w:sz w:val="16"/>
              </w:rPr>
              <w:t>Date / Fecha: ____________________</w:t>
            </w:r>
          </w:p>
        </w:tc>
      </w:tr>
    </w:tbl>
    <w:p>
      <w:pPr>
        <w:spacing w:before="200"/>
        <w:jc w:val="center"/>
        <w:pBdr>
          <w:top w:val="single" w:sz="4" w:space="3" w:color="DEE2E6"/>
        </w:pBdr>
      </w:pPr>
      <w:r>
        <w:rPr>
          <w:color w:val="6C757D"/>
          <w:sz w:val="14"/>
        </w:rPr>
        <w:t>Megagestión Servicios Inmobiliarios • CIF: B-54829767 • jose.martinez@remax.es • +34 966 665 651</w:t>
        <w:br/>
        <w:t>This Annex is an integral part of the Master Referral Agreement / Este Anexo forma parte integral del Acuerdo Marco de Referidos.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