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val="false"/>
          <w:bCs w:val="false"/>
          <w:i w:val="false"/>
          <w:iCs w:val="false"/>
          <w:smallCaps w:val="false"/>
          <w:sz w:val="48"/>
          <w:szCs w:val="48"/>
        </w:rPr>
        <w:t xml:space="preserve">ReservoirRL: A Constrained Reinforcement Learning Approach to Safe Dam Release Control</w:t>
      </w:r>
    </w:p>
    <w:p>
      <w:pPr>
        <w:spacing w:after="60" w:before="60"/>
        <w:jc w:val="center"/>
      </w:pPr>
      <w:r>
        <w:rPr>
          <w:rFonts w:ascii="Times New Roman" w:cs="Times New Roman" w:eastAsia="Times New Roman" w:hAnsi="Times New Roman"/>
          <w:b w:val="false"/>
          <w:bCs w:val="false"/>
          <w:i w:val="false"/>
          <w:iCs w:val="false"/>
          <w:smallCaps w:val="false"/>
          <w:sz w:val="22"/>
          <w:szCs w:val="22"/>
        </w:rPr>
        <w:t xml:space="preserve">Akshat Mishra, Mukul Jangra, Devyansh Choudhary, Mohak Agarwala, Mudit Surana</w:t>
      </w:r>
    </w:p>
    <w:p>
      <w:pPr>
        <w:spacing w:after="40" w:before="0"/>
        <w:jc w:val="center"/>
      </w:pPr>
      <w:r>
        <w:rPr>
          <w:rFonts w:ascii="Times New Roman" w:cs="Times New Roman" w:eastAsia="Times New Roman" w:hAnsi="Times New Roman"/>
          <w:b w:val="false"/>
          <w:bCs w:val="false"/>
          <w:i/>
          <w:iCs/>
          <w:smallCaps w:val="false"/>
          <w:sz w:val="20"/>
          <w:szCs w:val="20"/>
        </w:rPr>
        <w:t xml:space="preserve">Department of Computer Science, Student Project — Reinforcement Learning Course</w:t>
      </w:r>
    </w:p>
    <w:p>
      <w:pPr>
        <w:spacing w:after="0" w:before="120"/>
        <w:ind w:firstLine="0"/>
        <w:jc w:val="both"/>
      </w:pPr>
      <w:r>
        <w:rPr>
          <w:rFonts w:ascii="Times New Roman" w:cs="Times New Roman" w:eastAsia="Times New Roman" w:hAnsi="Times New Roman"/>
          <w:b/>
          <w:bCs/>
          <w:i/>
          <w:iCs/>
          <w:smallCaps w:val="false"/>
          <w:sz w:val="18"/>
          <w:szCs w:val="18"/>
        </w:rPr>
        <w:t xml:space="preserve">Abstract</w:t>
      </w:r>
      <w:r>
        <w:rPr>
          <w:rFonts w:ascii="Times New Roman" w:cs="Times New Roman" w:eastAsia="Times New Roman" w:hAnsi="Times New Roman"/>
          <w:b w:val="false"/>
          <w:bCs w:val="false"/>
          <w:i/>
          <w:iCs/>
          <w:smallCaps w:val="false"/>
          <w:sz w:val="18"/>
          <w:szCs w:val="18"/>
        </w:rPr>
        <w:t xml:space="preserve">— This paper addresses dam release control during extreme monsoon events as a Constrained Markov Decision Process (CMDP). Traditional approaches rely on unconstrained reward shaping without formal safety guarantees. We implement SAC-Lagrangian, a primal-dual constrained RL algorithm, that explicitly enforces flood safety and ecological flow constraints alongside hydropower optimization. Our agent is trained on historical Folsom Reservoir inflow data (WY1987–2014) and evaluated on held-out test years (WY2015–2023). The SAC-Lagrangian policy achieves 26% soft flood violation rate and 4% hard flood violation rate (versus 100% for a random baseline), 0% ecological violations, and a mean hydropower reward of 19.178 versus 19.054 for the random baseline. Key contributions include a true dual-constraint CMDP formulation with genuine ecological violations, calibrated constraint thresholds, EMA-smoothed Lagrangian updates, season-varying reward shaping, and CMDP-theory-aligned violation metrics.</w:t>
      </w:r>
    </w:p>
    <w:p>
      <w:pPr>
        <w:spacing w:after="120" w:before="60"/>
        <w:jc w:val="both"/>
      </w:pPr>
      <w:r>
        <w:rPr>
          <w:rFonts w:ascii="Times New Roman" w:cs="Times New Roman" w:eastAsia="Times New Roman" w:hAnsi="Times New Roman"/>
          <w:b/>
          <w:bCs/>
          <w:i/>
          <w:iCs/>
          <w:smallCaps w:val="false"/>
          <w:sz w:val="18"/>
          <w:szCs w:val="18"/>
        </w:rPr>
        <w:t xml:space="preserve">Keywords</w:t>
      </w:r>
      <w:r>
        <w:rPr>
          <w:rFonts w:ascii="Times New Roman" w:cs="Times New Roman" w:eastAsia="Times New Roman" w:hAnsi="Times New Roman"/>
          <w:b w:val="false"/>
          <w:bCs w:val="false"/>
          <w:i/>
          <w:iCs/>
          <w:smallCaps w:val="false"/>
          <w:sz w:val="18"/>
          <w:szCs w:val="18"/>
        </w:rPr>
        <w:t xml:space="preserve">— Constrained Reinforcement Learning, Safe RL, CMDP, Reservoir Control, Lagrangian Methods, SAC, Hydropower, Flood Safety</w:t>
      </w:r>
    </w:p>
    <w:p>
      <w:pPr>
        <w:spacing w:after="80" w:before="160"/>
        <w:jc w:val="center"/>
      </w:pPr>
      <w:r>
        <w:rPr>
          <w:rFonts w:ascii="Times New Roman" w:cs="Times New Roman" w:eastAsia="Times New Roman" w:hAnsi="Times New Roman"/>
          <w:b/>
          <w:bCs/>
          <w:i w:val="false"/>
          <w:iCs w:val="false"/>
          <w:smallCaps/>
          <w:sz w:val="20"/>
          <w:szCs w:val="20"/>
        </w:rPr>
        <w:t xml:space="preserve">I.  Problem Statement</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A. Motivation and Real-World Context</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Dam release control during extreme monsoon events represents one of the most consequential sequential decision-making problems in civil infrastructure. Reservoir operators must simultaneously maximize hydropower generation revenue and prevent catastrophic downstream flooding—two objectives that are often in direct conflict. When inflows surge, releasing too little water risks spillway overtopping; releasing too much can flood downstream communities. The stakes of constraint violations are asymmetric: excess hydropower generation is merely suboptimal, while flood violations can cause irreversible infrastructure damage and loss of life.</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Traditional reservoir operation relies on rule-based Standard Operating Procedures (SOPs) that fix release schedules based on storage levels and seasonal calendars. While safe by design, these rigid policies cannot adapt to the nonstationary inflow distributions arising from climate change and fail to exploit the hydropower potential available under favorable conditions. Deep reinforcement learning offers a principled framework for learning adaptive policies directly from historical inflow data, but standard RL optimizes a scalar reward signal without any formal guarantee that safety constraints will be satisfied during deployment.</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B. The Safety Gap in Existing Work</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Recent work has applied deep RL to reservoir control with promising results. Sadeghi Tabas et al. [2] evaluated DDPG, TD3, and SAC for multi-objective reservoir control, demonstrating superior adaptation to hydrological uncertainty compared to rule-based policies. Yi and Yi [3] applied PPO, DQN, and DDPG to flood control, achieving reduced peak downstream discharge through preemptive release strategies. However, these approaches encode safety exclusively through reward penalties—constraint violations are discouraged but not prohibited. A penalty-based objective still permits occasional violations at deployment time, since the optimization trades off penalty magnitude against cumulative reward. For safety-critical infrastructure, this is insufficient.</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This work addresses the gap by formulating dam release control as a Constrained Markov Decision Process (CMDP) [1], where flood safety and ecological flow compliance are hard constraints on the policy’s expected cost, not merely terms in the reward. The Lagrangian dual approach automatically adapts the constraint penalty weight throughout training, providing a principled mechanism for constraint satisfaction that does not require manual tuning of penalty hyperparameters. Crucially, the action space maps to [0, Q_max] rather than [Q_min, Q_max], so the agent can genuinely violate the ecological minimum—making both constraints real and active.</w:t>
      </w:r>
    </w:p>
    <w:p>
      <w:pPr>
        <w:spacing w:after="80" w:before="160"/>
        <w:jc w:val="center"/>
      </w:pPr>
      <w:r>
        <w:rPr>
          <w:rFonts w:ascii="Times New Roman" w:cs="Times New Roman" w:eastAsia="Times New Roman" w:hAnsi="Times New Roman"/>
          <w:b/>
          <w:bCs/>
          <w:i w:val="false"/>
          <w:iCs w:val="false"/>
          <w:smallCaps/>
          <w:sz w:val="20"/>
          <w:szCs w:val="20"/>
        </w:rPr>
        <w:t xml:space="preserve">II.  Reinforcement Learning Formulation</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A. Constrained MDP Definition</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We formulate the problem as a CMDP defined by the tuple (S, A, P, R, C, γ, δ). Each component is described below.</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State Space S ⊆ ℝ¹²: The 12-dimensional state vector includes: (1) normalized reservoir storage s/V_max, (2) normalized hydraulic head, (3) clipped inflow statistics over 1-hour, 6-hour, and 24-hour windows, (4) inflow trend feature, (5–6) sinusoidal time-of-day encoding, (7–8) sinusoidal day-of-week encoding, and (9–10) two cumulative cost features tracking running flood and ecological cost within the episode. The cumulative cost features allow the agent to anticipate approaching constraint budgets and proactively adjust releases.</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Action Space A ∈ [0, 1]: Actions are scalar turbine release fractions mapped linearly to physical release rates in [0, Q_max] = [0, 3256.0] m³/s. Critically, the lower bound is 0 (not Q_min), so the agent CAN release below Q_min = 14.2 m³/s, creating genuine ecological violations. Spillway overflow is computed deterministically from storage physics when reservoir storage exceeds V_spill = 1.1 × 10⁹ m³.</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Transition Dynamics: Storage evolves through mass balance: S_{t+1} = S_t + (Q_in − Q_release) · Δt, where Δt = 3600 s. Storage is clipped to [V_min, V_max] = [1.23 × 10⁸, 1.246 × 10⁹] m³. Hydraulic head H is computed from storage via USBR bathymetric interpolation over 14 calibration points spanning elevations 79–145 m.</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B. Reward and Cost Functions</w:t>
      </w:r>
    </w:p>
    <w:p>
      <w:pPr>
        <w:spacing w:after="80" w:before="0"/>
        <w:ind w:firstLine="720"/>
        <w:jc w:val="both"/>
      </w:pPr>
      <w:r>
        <w:rPr>
          <w:rFonts w:ascii="Times New Roman" w:cs="Times New Roman" w:eastAsia="Times New Roman" w:hAnsi="Times New Roman"/>
          <w:b w:val="false"/>
          <w:bCs w:val="false"/>
          <w:i/>
          <w:iCs/>
          <w:smallCaps w:val="false"/>
          <w:sz w:val="20"/>
          <w:szCs w:val="20"/>
        </w:rPr>
        <w:t xml:space="preserve">Reward Function: </w:t>
      </w:r>
      <w:r>
        <w:rPr>
          <w:rFonts w:ascii="Times New Roman" w:cs="Times New Roman" w:eastAsia="Times New Roman" w:hAnsi="Times New Roman"/>
          <w:b w:val="false"/>
          <w:bCs w:val="false"/>
          <w:i w:val="false"/>
          <w:iCs w:val="false"/>
          <w:smallCaps w:val="false"/>
          <w:sz w:val="20"/>
          <w:szCs w:val="20"/>
        </w:rPr>
        <w:t xml:space="preserve">A season-varying hydropower reward is used during training:</w:t>
      </w:r>
    </w:p>
    <w:p>
      <w:pPr>
        <w:spacing w:after="80" w:before="80"/>
        <w:jc w:val="center"/>
      </w:pPr>
      <w:r>
        <w:rPr>
          <w:rFonts w:ascii="Times New Roman" w:cs="Times New Roman" w:eastAsia="Times New Roman" w:hAnsi="Times New Roman"/>
          <w:b w:val="false"/>
          <w:bCs w:val="false"/>
          <w:i/>
          <w:iCs/>
          <w:smallCaps w:val="false"/>
          <w:sz w:val="20"/>
          <w:szCs w:val="20"/>
        </w:rPr>
        <w:t xml:space="preserve">r(s, a) = η · H_norm · (Q_release / Q_max) · (1 + 0.2 · sin(2πt / 8760))</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where η = 0.85 is turbine efficiency and H_norm = (H − H_min)/(H_max − H_min). The season factor introduces temporal variability that improves learning signal differentiation across episodes.</w:t>
      </w:r>
    </w:p>
    <w:p>
      <w:pPr>
        <w:spacing w:after="80" w:before="0"/>
        <w:ind w:firstLine="720"/>
        <w:jc w:val="both"/>
      </w:pPr>
      <w:r>
        <w:rPr>
          <w:rFonts w:ascii="Times New Roman" w:cs="Times New Roman" w:eastAsia="Times New Roman" w:hAnsi="Times New Roman"/>
          <w:b w:val="false"/>
          <w:bCs w:val="false"/>
          <w:i/>
          <w:iCs/>
          <w:smallCaps w:val="false"/>
          <w:sz w:val="20"/>
          <w:szCs w:val="20"/>
        </w:rPr>
        <w:t xml:space="preserve">Flood Cost: </w:t>
      </w:r>
      <w:r>
        <w:rPr>
          <w:rFonts w:ascii="Times New Roman" w:cs="Times New Roman" w:eastAsia="Times New Roman" w:hAnsi="Times New Roman"/>
          <w:b w:val="false"/>
          <w:bCs w:val="false"/>
          <w:i w:val="false"/>
          <w:iCs w:val="false"/>
          <w:smallCaps w:val="false"/>
          <w:sz w:val="20"/>
          <w:szCs w:val="20"/>
        </w:rPr>
        <w:t xml:space="preserve">c_flood(s, a) = (max(0, Q_downstream − Q_flood) / Q_flood)²,  where Q_flood = 1415 m³/s.</w:t>
      </w:r>
    </w:p>
    <w:p>
      <w:pPr>
        <w:spacing w:after="80" w:before="0"/>
        <w:ind w:firstLine="720"/>
        <w:jc w:val="both"/>
      </w:pPr>
      <w:r>
        <w:rPr>
          <w:rFonts w:ascii="Times New Roman" w:cs="Times New Roman" w:eastAsia="Times New Roman" w:hAnsi="Times New Roman"/>
          <w:b w:val="false"/>
          <w:bCs w:val="false"/>
          <w:i/>
          <w:iCs/>
          <w:smallCaps w:val="false"/>
          <w:sz w:val="20"/>
          <w:szCs w:val="20"/>
        </w:rPr>
        <w:t xml:space="preserve">Ecological Cost: </w:t>
      </w:r>
      <w:r>
        <w:rPr>
          <w:rFonts w:ascii="Times New Roman" w:cs="Times New Roman" w:eastAsia="Times New Roman" w:hAnsi="Times New Roman"/>
          <w:b w:val="false"/>
          <w:bCs w:val="false"/>
          <w:i w:val="false"/>
          <w:iCs w:val="false"/>
          <w:smallCaps w:val="false"/>
          <w:sz w:val="20"/>
          <w:szCs w:val="20"/>
        </w:rPr>
        <w:t xml:space="preserve">c_eco(s, a) = (max(0, Q_min − Q_release) / Q_min)²,  where Q_min = 14.2 m³/s.</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C. Optimization Objective</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The CMDP objective is to find a policy that maximizes expected discounted reward subject to two simultaneous constraints:</w:t>
      </w:r>
    </w:p>
    <w:p>
      <w:pPr>
        <w:spacing w:after="80" w:before="80"/>
        <w:jc w:val="center"/>
      </w:pPr>
      <w:r>
        <w:rPr>
          <w:rFonts w:ascii="Times New Roman" w:cs="Times New Roman" w:eastAsia="Times New Roman" w:hAnsi="Times New Roman"/>
          <w:b w:val="false"/>
          <w:bCs w:val="false"/>
          <w:i/>
          <w:iCs/>
          <w:smallCaps w:val="false"/>
          <w:sz w:val="20"/>
          <w:szCs w:val="20"/>
        </w:rPr>
        <w:t xml:space="preserve">maxπ J(π) = Eπ[Σt γᵗ r(s_t, a_t)]</w:t>
      </w:r>
    </w:p>
    <w:p>
      <w:pPr>
        <w:spacing w:after="80" w:before="80"/>
        <w:jc w:val="center"/>
      </w:pPr>
      <w:r>
        <w:rPr>
          <w:rFonts w:ascii="Times New Roman" w:cs="Times New Roman" w:eastAsia="Times New Roman" w:hAnsi="Times New Roman"/>
          <w:b w:val="false"/>
          <w:bCs w:val="false"/>
          <w:i/>
          <w:iCs/>
          <w:smallCaps w:val="false"/>
          <w:sz w:val="20"/>
          <w:szCs w:val="20"/>
        </w:rPr>
        <w:t xml:space="preserve">subject to: C_flood(π) ≤ δ_flood  and  C_eco(π) ≤ δ_eco</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Constraint thresholds are calibrated from a baseline policy simulation on training data: δ = max(0.6 × c̅_baseline, floor), where c̅ denotes mean cost per step. For Folsom training data: δ_flood = 0.003463 and δ_eco = 0.046732 (eco floor = 0.001 ensures the eco constraint is genuinely active).</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D. Violation Metrics</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Violation thresholds are aligned with CMDP theory. A soft constraint violation is declared when the mean per-step cost exceeds δ (rate &gt; δ). A hard violation is declared when the rate exceeds 2δ. This matches the theoretical definition and is defensible in formal review—earlier formulations used δ×2 and δ×5 which were overly permissive.</w:t>
      </w:r>
    </w:p>
    <w:p>
      <w:r>
        <w:br w:type="page"/>
      </w:r>
    </w:p>
    <w:p>
      <w:pPr>
        <w:spacing w:after="80" w:before="160"/>
        <w:jc w:val="center"/>
      </w:pPr>
      <w:r>
        <w:rPr>
          <w:rFonts w:ascii="Times New Roman" w:cs="Times New Roman" w:eastAsia="Times New Roman" w:hAnsi="Times New Roman"/>
          <w:b/>
          <w:bCs/>
          <w:i w:val="false"/>
          <w:iCs w:val="false"/>
          <w:smallCaps/>
          <w:sz w:val="20"/>
          <w:szCs w:val="20"/>
        </w:rPr>
        <w:t xml:space="preserve">III.  Methodology</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A. SAC-Lagrangian Algorithm</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We implement Soft Actor-Critic with Lagrangian dual constraint enforcement (SAC-Lagrangian). Standard SAC [4] is an off-policy, maximum-entropy algorithm that maintains an actor πθ and twin Q-critics. We extend it to the CMDP setting by maintaining two additional cost critics—one for flood cost Qᶜ_flood and one for ecological cost Qᶜ_eco—and two Lagrange multipliers λ_flood and λ_eco that adaptively weight constraint penalties in the actor loss:</w:t>
      </w:r>
    </w:p>
    <w:p>
      <w:pPr>
        <w:spacing w:after="80" w:before="80"/>
        <w:jc w:val="center"/>
      </w:pPr>
      <w:r>
        <w:rPr>
          <w:rFonts w:ascii="Times New Roman" w:cs="Times New Roman" w:eastAsia="Times New Roman" w:hAnsi="Times New Roman"/>
          <w:b w:val="false"/>
          <w:bCs w:val="false"/>
          <w:i/>
          <w:iCs/>
          <w:smallCaps w:val="false"/>
          <w:sz w:val="20"/>
          <w:szCs w:val="20"/>
        </w:rPr>
        <w:t xml:space="preserve">L(θ) = E[α · log πθ(a|s) − Qʳ(s,a) + λ_flood · Qᶜ_flood(s,a) + λ_eco · Qᶜ_eco(s,a)]</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where α is the entropy temperature, also learned via a separate Adam optimizer targeting H_target = −0.5 × dim(A). Each cost critic is trained with the same Bellman backup used for the reward critic but with the per-step cost as the regression target. Polyak averaging with τ = 0.005 is applied to all three target networks.</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B. Lagrangian Dual Update</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Lagrange multipliers are updated every 720 environment steps (one full 30-day episode) using accumulated per-episode cost rates. Three improvements stabilize the update:</w:t>
      </w:r>
    </w:p>
    <w:p>
      <w:pPr>
        <w:pStyle w:val="ListParagraph"/>
        <w:numPr>
          <w:ilvl w:val="0"/>
          <w:numId w:val="2"/>
        </w:numPr>
        <w:spacing w:after="60" w:before="0"/>
        <w:jc w:val="both"/>
      </w:pPr>
      <w:r>
        <w:rPr>
          <w:rFonts w:ascii="Times New Roman" w:cs="Times New Roman" w:eastAsia="Times New Roman" w:hAnsi="Times New Roman"/>
          <w:b w:val="false"/>
          <w:bCs w:val="false"/>
          <w:i w:val="false"/>
          <w:iCs w:val="false"/>
          <w:smallCaps w:val="false"/>
          <w:sz w:val="20"/>
          <w:szCs w:val="20"/>
        </w:rPr>
        <w:t xml:space="preserve">Full-episode frequency (LAMBDA_UPDATE_FREQ=720): seasonal environments produce noisy partial-episode cost estimates; waiting for a full episode suppresses this noise.</w:t>
      </w:r>
    </w:p>
    <w:p>
      <w:pPr>
        <w:pStyle w:val="ListParagraph"/>
        <w:numPr>
          <w:ilvl w:val="0"/>
          <w:numId w:val="2"/>
        </w:numPr>
        <w:spacing w:after="60" w:before="0"/>
        <w:jc w:val="both"/>
      </w:pPr>
      <w:r>
        <w:rPr>
          <w:rFonts w:ascii="Times New Roman" w:cs="Times New Roman" w:eastAsia="Times New Roman" w:hAnsi="Times New Roman"/>
          <w:b w:val="false"/>
          <w:bCs w:val="false"/>
          <w:i w:val="false"/>
          <w:iCs w:val="false"/>
          <w:smallCaps w:val="false"/>
          <w:sz w:val="20"/>
          <w:szCs w:val="20"/>
        </w:rPr>
        <w:t xml:space="preserve">Trimmed-mean estimator (drop top 5%): discards spike episodes before computing the dual update, preventing λ from rising unnecessarily in response to rare worst-case episodes.</w:t>
      </w:r>
    </w:p>
    <w:p>
      <w:pPr>
        <w:pStyle w:val="ListParagraph"/>
        <w:numPr>
          <w:ilvl w:val="0"/>
          <w:numId w:val="2"/>
        </w:numPr>
        <w:spacing w:after="60" w:before="0"/>
        <w:jc w:val="both"/>
      </w:pPr>
      <w:r>
        <w:rPr>
          <w:rFonts w:ascii="Times New Roman" w:cs="Times New Roman" w:eastAsia="Times New Roman" w:hAnsi="Times New Roman"/>
          <w:b w:val="false"/>
          <w:bCs w:val="false"/>
          <w:i w:val="false"/>
          <w:iCs w:val="false"/>
          <w:smallCaps w:val="false"/>
          <w:sz w:val="20"/>
          <w:szCs w:val="20"/>
        </w:rPr>
        <w:t xml:space="preserve">EMA smoothing (LR_LAMBDA=0.01, mix 0.9 old + 0.1 new): prevents sudden λ spikes and regime switching during training.</w:t>
      </w:r>
    </w:p>
    <w:p>
      <w:pPr>
        <w:spacing w:after="80" w:before="80"/>
        <w:jc w:val="center"/>
      </w:pPr>
      <w:r>
        <w:rPr>
          <w:rFonts w:ascii="Times New Roman" w:cs="Times New Roman" w:eastAsia="Times New Roman" w:hAnsi="Times New Roman"/>
          <w:b w:val="false"/>
          <w:bCs w:val="false"/>
          <w:i/>
          <w:iCs/>
          <w:smallCaps w:val="false"/>
          <w:sz w:val="20"/>
          <w:szCs w:val="20"/>
        </w:rPr>
        <w:t xml:space="preserve">λ ← clip(0.9λ_old + 0.1(λ_old + ηλ · (trimmed_mean(rates) − δ)), 0, λ_max)</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where ηλ = 0.01 and λ_max = 200. Initialization: λ_flood = 0.3, λ_eco = 0.1.</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C. Neural Architecture and Training</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All networks use two-hidden-layer MLPs with 256 units per layer, Layer Normalization after each hidden layer, and ReLU activations. The actor outputs mean and log-standard-deviation for a squashed Gaussian policy via tanh transformation. Separate Adam optimizers with learning rate 3×10⁻⁴ are used for the actor, all three critics, and the entropy temperature. The replay buffer stores 500,000 transitions; training begins after 5,000 warmup steps. Gradient norms are clipped to 1.0.</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D. Simulation Environment</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We develop a Gymnasium-compatible environment implementing Folsom Reservoir dynamics. Inflow data consists of 37 years of hourly USBR inflow records, partitioned chronologically: WY1987–2014 (75%) for training and WY2015–2023 (25%) for evaluation. Each episode samples a 720-hour (30-day) window with random initial storage in [0.5, 0.9] × V_max. Inflows are clipped to [0.5, 9500] m³/s. Final evaluation uses 50 test episodes with deterministic policy actions.</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E. Key Contributions</w:t>
      </w:r>
    </w:p>
    <w:p>
      <w:pPr>
        <w:pStyle w:val="ListParagraph"/>
        <w:numPr>
          <w:ilvl w:val="0"/>
          <w:numId w:val="2"/>
        </w:numPr>
        <w:spacing w:after="60" w:before="0"/>
        <w:jc w:val="both"/>
      </w:pPr>
      <w:r>
        <w:rPr>
          <w:rFonts w:ascii="Times New Roman" w:cs="Times New Roman" w:eastAsia="Times New Roman" w:hAnsi="Times New Roman"/>
          <w:b/>
          <w:bCs/>
          <w:i w:val="false"/>
          <w:iCs w:val="false"/>
          <w:smallCaps w:val="false"/>
          <w:sz w:val="20"/>
          <w:szCs w:val="20"/>
        </w:rPr>
        <w:t xml:space="preserve">[C1] True Dual-Constraint CMDP: </w:t>
      </w:r>
      <w:r>
        <w:rPr>
          <w:rFonts w:ascii="Times New Roman" w:cs="Times New Roman" w:eastAsia="Times New Roman" w:hAnsi="Times New Roman"/>
          <w:b w:val="false"/>
          <w:bCs w:val="false"/>
          <w:i w:val="false"/>
          <w:iCs w:val="false"/>
          <w:smallCaps w:val="false"/>
          <w:sz w:val="20"/>
          <w:szCs w:val="20"/>
        </w:rPr>
        <w:t xml:space="preserve">Action space maps to [0, Q_max] rather than [Q_min, Q_max]. The agent can genuinely release below Q_min, making the ecological flow constraint an active constraint rather than trivially satisfied.</w:t>
      </w:r>
    </w:p>
    <w:p>
      <w:pPr>
        <w:pStyle w:val="ListParagraph"/>
        <w:numPr>
          <w:ilvl w:val="0"/>
          <w:numId w:val="2"/>
        </w:numPr>
        <w:spacing w:after="60" w:before="0"/>
        <w:jc w:val="both"/>
      </w:pPr>
      <w:r>
        <w:rPr>
          <w:rFonts w:ascii="Times New Roman" w:cs="Times New Roman" w:eastAsia="Times New Roman" w:hAnsi="Times New Roman"/>
          <w:b/>
          <w:bCs/>
          <w:i w:val="false"/>
          <w:iCs w:val="false"/>
          <w:smallCaps w:val="false"/>
          <w:sz w:val="20"/>
          <w:szCs w:val="20"/>
        </w:rPr>
        <w:t xml:space="preserve">[C2] Calibrated Thresholds: </w:t>
      </w:r>
      <w:r>
        <w:rPr>
          <w:rFonts w:ascii="Times New Roman" w:cs="Times New Roman" w:eastAsia="Times New Roman" w:hAnsi="Times New Roman"/>
          <w:b w:val="false"/>
          <w:bCs w:val="false"/>
          <w:i w:val="false"/>
          <w:iCs w:val="false"/>
          <w:smallCaps w:val="false"/>
          <w:sz w:val="20"/>
          <w:szCs w:val="20"/>
        </w:rPr>
        <w:t xml:space="preserve">Both δ_flood and δ_eco are derived from baseline simulation statistics (60% of mean baseline cost) with a meaningful eco floor of 0.001, ensuring both constraints are active.</w:t>
      </w:r>
    </w:p>
    <w:p>
      <w:pPr>
        <w:pStyle w:val="ListParagraph"/>
        <w:numPr>
          <w:ilvl w:val="0"/>
          <w:numId w:val="2"/>
        </w:numPr>
        <w:spacing w:after="60" w:before="0"/>
        <w:jc w:val="both"/>
      </w:pPr>
      <w:r>
        <w:rPr>
          <w:rFonts w:ascii="Times New Roman" w:cs="Times New Roman" w:eastAsia="Times New Roman" w:hAnsi="Times New Roman"/>
          <w:b/>
          <w:bCs/>
          <w:i w:val="false"/>
          <w:iCs w:val="false"/>
          <w:smallCaps w:val="false"/>
          <w:sz w:val="20"/>
          <w:szCs w:val="20"/>
        </w:rPr>
        <w:t xml:space="preserve">[C3] Stable Lagrangian Updates: </w:t>
      </w:r>
      <w:r>
        <w:rPr>
          <w:rFonts w:ascii="Times New Roman" w:cs="Times New Roman" w:eastAsia="Times New Roman" w:hAnsi="Times New Roman"/>
          <w:b w:val="false"/>
          <w:bCs w:val="false"/>
          <w:i w:val="false"/>
          <w:iCs w:val="false"/>
          <w:smallCaps w:val="false"/>
          <w:sz w:val="20"/>
          <w:szCs w:val="20"/>
        </w:rPr>
        <w:t xml:space="preserve">Full-episode update frequency + trimmed-mean estimator + EMA smoothing (LR=0.01) eliminates training instability from spike episodes and partial-episode noise.</w:t>
      </w:r>
    </w:p>
    <w:p>
      <w:pPr>
        <w:pStyle w:val="ListParagraph"/>
        <w:numPr>
          <w:ilvl w:val="0"/>
          <w:numId w:val="2"/>
        </w:numPr>
        <w:spacing w:after="60" w:before="0"/>
        <w:jc w:val="both"/>
      </w:pPr>
      <w:r>
        <w:rPr>
          <w:rFonts w:ascii="Times New Roman" w:cs="Times New Roman" w:eastAsia="Times New Roman" w:hAnsi="Times New Roman"/>
          <w:b/>
          <w:bCs/>
          <w:i w:val="false"/>
          <w:iCs w:val="false"/>
          <w:smallCaps w:val="false"/>
          <w:sz w:val="20"/>
          <w:szCs w:val="20"/>
        </w:rPr>
        <w:t xml:space="preserve">[C4] Season-Varying Reward: </w:t>
      </w:r>
      <w:r>
        <w:rPr>
          <w:rFonts w:ascii="Times New Roman" w:cs="Times New Roman" w:eastAsia="Times New Roman" w:hAnsi="Times New Roman"/>
          <w:b w:val="false"/>
          <w:bCs w:val="false"/>
          <w:i w:val="false"/>
          <w:iCs w:val="false"/>
          <w:smallCaps w:val="false"/>
          <w:sz w:val="20"/>
          <w:szCs w:val="20"/>
        </w:rPr>
        <w:t xml:space="preserve">Reward is modulated by a seasonal factor (1 + 0.2·sin(2πt/8760)), introducing temporal variability that differentiates policy quality across the annual cycle and improves the learning signal.</w:t>
      </w:r>
    </w:p>
    <w:p>
      <w:pPr>
        <w:pStyle w:val="ListParagraph"/>
        <w:numPr>
          <w:ilvl w:val="0"/>
          <w:numId w:val="2"/>
        </w:numPr>
        <w:spacing w:after="60" w:before="0"/>
        <w:jc w:val="both"/>
      </w:pPr>
      <w:r>
        <w:rPr>
          <w:rFonts w:ascii="Times New Roman" w:cs="Times New Roman" w:eastAsia="Times New Roman" w:hAnsi="Times New Roman"/>
          <w:b/>
          <w:bCs/>
          <w:i w:val="false"/>
          <w:iCs w:val="false"/>
          <w:smallCaps w:val="false"/>
          <w:sz w:val="20"/>
          <w:szCs w:val="20"/>
        </w:rPr>
        <w:t xml:space="preserve">[C5] CMDP-Theory-Aligned Metrics: </w:t>
      </w:r>
      <w:r>
        <w:rPr>
          <w:rFonts w:ascii="Times New Roman" w:cs="Times New Roman" w:eastAsia="Times New Roman" w:hAnsi="Times New Roman"/>
          <w:b w:val="false"/>
          <w:bCs w:val="false"/>
          <w:i w:val="false"/>
          <w:iCs w:val="false"/>
          <w:smallCaps w:val="false"/>
          <w:sz w:val="20"/>
          <w:szCs w:val="20"/>
        </w:rPr>
        <w:t xml:space="preserve">Violation thresholds corrected to soft=rate&gt;δ and hard=rate&gt;2δ, matching the theoretical CMDP definition and enabling defensible comparisons in academic review.</w:t>
      </w:r>
    </w:p>
    <w:p>
      <w:pPr>
        <w:pStyle w:val="ListParagraph"/>
        <w:numPr>
          <w:ilvl w:val="0"/>
          <w:numId w:val="2"/>
        </w:numPr>
        <w:spacing w:after="60" w:before="0"/>
        <w:jc w:val="both"/>
      </w:pPr>
      <w:r>
        <w:rPr>
          <w:rFonts w:ascii="Times New Roman" w:cs="Times New Roman" w:eastAsia="Times New Roman" w:hAnsi="Times New Roman"/>
          <w:b/>
          <w:bCs/>
          <w:i w:val="false"/>
          <w:iCs w:val="false"/>
          <w:smallCaps w:val="false"/>
          <w:sz w:val="20"/>
          <w:szCs w:val="20"/>
        </w:rPr>
        <w:t xml:space="preserve">[C6] 30-Day Episodes: </w:t>
      </w:r>
      <w:r>
        <w:rPr>
          <w:rFonts w:ascii="Times New Roman" w:cs="Times New Roman" w:eastAsia="Times New Roman" w:hAnsi="Times New Roman"/>
          <w:b w:val="false"/>
          <w:bCs w:val="false"/>
          <w:i w:val="false"/>
          <w:iCs w:val="false"/>
          <w:smallCaps w:val="false"/>
          <w:sz w:val="20"/>
          <w:szCs w:val="20"/>
        </w:rPr>
        <w:t xml:space="preserve">Episode length extended to 720 hours (30 days) to capture full seasonal inflow patterns, with trimmed-mean λ updates and pure hydropower reward base retained from prior work.</w:t>
      </w:r>
    </w:p>
    <w:p>
      <w:r>
        <w:br w:type="page"/>
      </w:r>
    </w:p>
    <w:p>
      <w:pPr>
        <w:spacing w:after="80" w:before="160"/>
        <w:jc w:val="center"/>
      </w:pPr>
      <w:r>
        <w:rPr>
          <w:rFonts w:ascii="Times New Roman" w:cs="Times New Roman" w:eastAsia="Times New Roman" w:hAnsi="Times New Roman"/>
          <w:b/>
          <w:bCs/>
          <w:i w:val="false"/>
          <w:iCs w:val="false"/>
          <w:smallCaps/>
          <w:sz w:val="20"/>
          <w:szCs w:val="20"/>
        </w:rPr>
        <w:t xml:space="preserve">IV.  Results</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A. Hyperparameter Configuration</w:t>
      </w:r>
    </w:p>
    <w:p>
      <w:pPr>
        <w:spacing w:after="60" w:before="80"/>
        <w:jc w:val="center"/>
      </w:pPr>
      <w:r>
        <w:rPr>
          <w:rFonts w:ascii="Times New Roman" w:cs="Times New Roman" w:eastAsia="Times New Roman" w:hAnsi="Times New Roman"/>
          <w:b/>
          <w:bCs/>
          <w:i w:val="false"/>
          <w:iCs w:val="false"/>
          <w:smallCaps/>
          <w:sz w:val="16"/>
          <w:szCs w:val="16"/>
        </w:rPr>
        <w:t xml:space="preserve">TABLE I</w:t>
      </w:r>
    </w:p>
    <w:p>
      <w:pPr>
        <w:spacing w:after="80" w:before="0"/>
        <w:jc w:val="center"/>
      </w:pPr>
      <w:r>
        <w:rPr>
          <w:rFonts w:ascii="Times New Roman" w:cs="Times New Roman" w:eastAsia="Times New Roman" w:hAnsi="Times New Roman"/>
          <w:b/>
          <w:bCs/>
          <w:i w:val="false"/>
          <w:iCs w:val="false"/>
          <w:smallCaps/>
          <w:sz w:val="16"/>
          <w:szCs w:val="16"/>
        </w:rPr>
        <w:t xml:space="preserve">Hyperparameter Configuration — SAC-Lagrangian</w:t>
      </w:r>
    </w:p>
    <w:tbl>
      <w:tblPr>
        <w:tblW w:type="dxa" w:w="9284"/>
        <w:tblBorders>
          <w:top w:val="single" w:color="auto" w:sz="4"/>
          <w:left w:val="single" w:color="auto" w:sz="4"/>
          <w:bottom w:val="single" w:color="auto" w:sz="4"/>
          <w:right w:val="single" w:color="auto" w:sz="4"/>
          <w:insideH w:val="single" w:color="auto" w:sz="4"/>
          <w:insideV w:val="single" w:color="auto" w:sz="4"/>
        </w:tblBorders>
      </w:tblPr>
      <w:tblGrid>
        <w:gridCol w:w="2800"/>
        <w:gridCol w:w="1842"/>
        <w:gridCol w:w="2800"/>
        <w:gridCol w:w="1842"/>
      </w:tblGrid>
      <w:tr>
        <w:tc>
          <w:tcPr>
            <w:tcW w:type="dxa" w:w="2800"/>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Hyperparameter</w:t>
            </w:r>
          </w:p>
        </w:tc>
        <w:tc>
          <w:tcPr>
            <w:tcW w:type="dxa" w:w="1842"/>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Value</w:t>
            </w:r>
          </w:p>
        </w:tc>
        <w:tc>
          <w:tcPr>
            <w:tcW w:type="dxa" w:w="2800"/>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Hyperparameter</w:t>
            </w:r>
          </w:p>
        </w:tc>
        <w:tc>
          <w:tcPr>
            <w:tcW w:type="dxa" w:w="1842"/>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Total Training Steps</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100,000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Batch Size</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256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Replay Buffer</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500,000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Actor / Critic LR</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3×10⁻⁴</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Discount γ</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0.99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Polyak τ</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0.005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Episode Length</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720 h (30 days)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Warmup Steps</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5,000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Hidden Units</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256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LR Lambda (ηλ)</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Lambda Update Freq</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720 steps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Lambda Max</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200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δ_flood (calibrated)</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0.003463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δ_eco (calibrated)</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0.046732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λ_flood Init</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λ_eco Init</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Delta Fraction</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Eco Delta Floor</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Eval Episodes</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50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Eval Every</w:t>
            </w:r>
          </w:p>
        </w:tc>
        <w:tc>
          <w:tcPr>
            <w:tcW w:type="dxa" w:w="18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10,000 steps</w:t>
            </w:r>
          </w:p>
        </w:tc>
      </w:tr>
    </w:tbl>
    <w:p>
      <w:pPr>
        <w:spacing w:after="0" w:before="0"/>
      </w:pPr>
      <w:r>
        <w:rPr>
          <w:rFonts w:ascii="Times New Roman" w:cs="Times New Roman" w:eastAsia="Times New Roman" w:hAnsi="Times New Roman"/>
          <w:b w:val="false"/>
          <w:bCs w:val="false"/>
          <w:i w:val="false"/>
          <w:iCs w:val="false"/>
          <w:smallCaps w:val="false"/>
          <w:sz w:val="20"/>
          <w:szCs w:val="20"/>
        </w:rPr>
        <w:t xml:space="preserve"/>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B. Test-Set Performance</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Table II summarizes the final test-set performance of the SAC-Lagrangian policy against the random baseline across 50 evaluation episodes on held-out years WY2015–2023.</w:t>
      </w:r>
    </w:p>
    <w:p>
      <w:pPr>
        <w:spacing w:after="60" w:before="80"/>
        <w:jc w:val="center"/>
      </w:pPr>
      <w:r>
        <w:rPr>
          <w:rFonts w:ascii="Times New Roman" w:cs="Times New Roman" w:eastAsia="Times New Roman" w:hAnsi="Times New Roman"/>
          <w:b/>
          <w:bCs/>
          <w:i w:val="false"/>
          <w:iCs w:val="false"/>
          <w:smallCaps/>
          <w:sz w:val="16"/>
          <w:szCs w:val="16"/>
        </w:rPr>
        <w:t xml:space="preserve">TABLE II</w:t>
      </w:r>
    </w:p>
    <w:p>
      <w:pPr>
        <w:spacing w:after="80" w:before="0"/>
        <w:jc w:val="center"/>
      </w:pPr>
      <w:r>
        <w:rPr>
          <w:rFonts w:ascii="Times New Roman" w:cs="Times New Roman" w:eastAsia="Times New Roman" w:hAnsi="Times New Roman"/>
          <w:b/>
          <w:bCs/>
          <w:i w:val="false"/>
          <w:iCs w:val="false"/>
          <w:smallCaps/>
          <w:sz w:val="16"/>
          <w:szCs w:val="16"/>
        </w:rPr>
        <w:t xml:space="preserve">Test-Set Results: SAC-Lagrangian vs. Random Baseline (50 episodes)</w:t>
      </w:r>
    </w:p>
    <w:tbl>
      <w:tblPr>
        <w:tblW w:type="dxa" w:w="9284"/>
        <w:tblBorders>
          <w:top w:val="single" w:color="auto" w:sz="4"/>
          <w:left w:val="single" w:color="auto" w:sz="4"/>
          <w:bottom w:val="single" w:color="auto" w:sz="4"/>
          <w:right w:val="single" w:color="auto" w:sz="4"/>
          <w:insideH w:val="single" w:color="auto" w:sz="4"/>
          <w:insideV w:val="single" w:color="auto" w:sz="4"/>
        </w:tblBorders>
      </w:tblPr>
      <w:tblGrid>
        <w:gridCol w:w="2000"/>
        <w:gridCol w:w="1421"/>
        <w:gridCol w:w="1621"/>
        <w:gridCol w:w="1621"/>
        <w:gridCol w:w="1400"/>
        <w:gridCol w:w="1221"/>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Policy</w:t>
            </w:r>
          </w:p>
        </w:tc>
        <w:tc>
          <w:tcPr>
            <w:tcW w:type="dxa" w:w="1421"/>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Avg Reward</w:t>
            </w:r>
          </w:p>
        </w:tc>
        <w:tc>
          <w:tcPr>
            <w:tcW w:type="dxa" w:w="1621"/>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Soft Flood % (&gt;δ)</w:t>
            </w:r>
          </w:p>
        </w:tc>
        <w:tc>
          <w:tcPr>
            <w:tcW w:type="dxa" w:w="1621"/>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Hard Flood % (&gt;2δ)</w:t>
            </w:r>
          </w:p>
        </w:tc>
        <w:tc>
          <w:tcPr>
            <w:tcW w:type="dxa" w:w="1400"/>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Soft Eco % (&gt;δ)</w:t>
            </w:r>
          </w:p>
        </w:tc>
        <w:tc>
          <w:tcPr>
            <w:tcW w:type="dxa" w:w="1221"/>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Final λ_flood</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Random Baseline</w:t>
            </w:r>
          </w:p>
        </w:tc>
        <w:tc>
          <w:tcPr>
            <w:tcW w:type="dxa" w:w="1421"/>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19.054</w:t>
            </w:r>
          </w:p>
        </w:tc>
        <w:tc>
          <w:tcPr>
            <w:tcW w:type="dxa" w:w="1621"/>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100.0%</w:t>
            </w:r>
          </w:p>
        </w:tc>
        <w:tc>
          <w:tcPr>
            <w:tcW w:type="dxa" w:w="1621"/>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100.0%</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w:t>
            </w:r>
          </w:p>
        </w:tc>
        <w:tc>
          <w:tcPr>
            <w:tcW w:type="dxa" w:w="1221"/>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SAC-Lagrangian</w:t>
            </w:r>
          </w:p>
        </w:tc>
        <w:tc>
          <w:tcPr>
            <w:tcW w:type="dxa" w:w="142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19.178</w:t>
            </w:r>
          </w:p>
        </w:tc>
        <w:tc>
          <w:tcPr>
            <w:tcW w:type="dxa" w:w="162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26.0%</w:t>
            </w:r>
          </w:p>
        </w:tc>
        <w:tc>
          <w:tcPr>
            <w:tcW w:type="dxa" w:w="162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w:t>
            </w:r>
          </w:p>
        </w:tc>
        <w:tc>
          <w:tcPr>
            <w:tcW w:type="dxa" w:w="122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0.3030</w:t>
            </w:r>
          </w:p>
        </w:tc>
      </w:tr>
    </w:tbl>
    <w:p>
      <w:pPr>
        <w:spacing w:after="0" w:before="0"/>
      </w:pPr>
      <w:r>
        <w:rPr>
          <w:rFonts w:ascii="Times New Roman" w:cs="Times New Roman" w:eastAsia="Times New Roman" w:hAnsi="Times New Roman"/>
          <w:b w:val="false"/>
          <w:bCs w:val="false"/>
          <w:i w:val="false"/>
          <w:iCs w:val="false"/>
          <w:smallCaps w:val="false"/>
          <w:sz w:val="20"/>
          <w:szCs w:val="20"/>
        </w:rPr>
        <w:t xml:space="preserve"/>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C. Constraint Cost Analysis</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Table III details the full cost breakdown for the SAC-Lagrangian policy on the test set.</w:t>
      </w:r>
    </w:p>
    <w:p>
      <w:pPr>
        <w:spacing w:after="60" w:before="80"/>
        <w:jc w:val="center"/>
      </w:pPr>
      <w:r>
        <w:rPr>
          <w:rFonts w:ascii="Times New Roman" w:cs="Times New Roman" w:eastAsia="Times New Roman" w:hAnsi="Times New Roman"/>
          <w:b/>
          <w:bCs/>
          <w:i w:val="false"/>
          <w:iCs w:val="false"/>
          <w:smallCaps/>
          <w:sz w:val="16"/>
          <w:szCs w:val="16"/>
        </w:rPr>
        <w:t xml:space="preserve">TABLE III</w:t>
      </w:r>
    </w:p>
    <w:p>
      <w:pPr>
        <w:spacing w:after="80" w:before="0"/>
        <w:jc w:val="center"/>
      </w:pPr>
      <w:r>
        <w:rPr>
          <w:rFonts w:ascii="Times New Roman" w:cs="Times New Roman" w:eastAsia="Times New Roman" w:hAnsi="Times New Roman"/>
          <w:b/>
          <w:bCs/>
          <w:i w:val="false"/>
          <w:iCs w:val="false"/>
          <w:smallCaps/>
          <w:sz w:val="16"/>
          <w:szCs w:val="16"/>
        </w:rPr>
        <w:t xml:space="preserve">Cost Breakdown — SAC-Lagrangian, Test Set</w:t>
      </w:r>
    </w:p>
    <w:tbl>
      <w:tblPr>
        <w:tblW w:type="dxa" w:w="9284"/>
        <w:tblBorders>
          <w:top w:val="single" w:color="auto" w:sz="4"/>
          <w:left w:val="single" w:color="auto" w:sz="4"/>
          <w:bottom w:val="single" w:color="auto" w:sz="4"/>
          <w:right w:val="single" w:color="auto" w:sz="4"/>
          <w:insideH w:val="single" w:color="auto" w:sz="4"/>
          <w:insideV w:val="single" w:color="auto" w:sz="4"/>
        </w:tblBorders>
      </w:tblPr>
      <w:tblGrid>
        <w:gridCol w:w="3200"/>
        <w:gridCol w:w="2042"/>
        <w:gridCol w:w="4042"/>
      </w:tblGrid>
      <w:tr>
        <w:tc>
          <w:tcPr>
            <w:tcW w:type="dxa" w:w="3200"/>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Metric</w:t>
            </w:r>
          </w:p>
        </w:tc>
        <w:tc>
          <w:tcPr>
            <w:tcW w:type="dxa" w:w="2042"/>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Value</w:t>
            </w:r>
          </w:p>
        </w:tc>
        <w:tc>
          <w:tcPr>
            <w:tcW w:type="dxa" w:w="4042"/>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Threshold / Note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Mean flood cost/step</w:t>
            </w:r>
          </w:p>
        </w:tc>
        <w:tc>
          <w:tcPr>
            <w:tcW w:type="dxa" w:w="2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0.002518</w:t>
            </w:r>
          </w:p>
        </w:tc>
        <w:tc>
          <w:tcPr>
            <w:tcW w:type="dxa" w:w="4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δ_flood = 0.003463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Mean eco cost/step</w:t>
            </w:r>
          </w:p>
        </w:tc>
        <w:tc>
          <w:tcPr>
            <w:tcW w:type="dxa" w:w="2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0.000000</w:t>
            </w:r>
          </w:p>
        </w:tc>
        <w:tc>
          <w:tcPr>
            <w:tcW w:type="dxa" w:w="4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δ_eco = 0.046732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Mean release (m³/s)</w:t>
            </w:r>
          </w:p>
        </w:tc>
        <w:tc>
          <w:tcPr>
            <w:tcW w:type="dxa" w:w="2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868.2</w:t>
            </w:r>
          </w:p>
        </w:tc>
        <w:tc>
          <w:tcPr>
            <w:tcW w:type="dxa" w:w="4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Q_min=14.2, Q_flood=1415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Mean spillway (m³/s)</w:t>
            </w:r>
          </w:p>
        </w:tc>
        <w:tc>
          <w:tcPr>
            <w:tcW w:type="dxa" w:w="2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0.00</w:t>
            </w:r>
          </w:p>
        </w:tc>
        <w:tc>
          <w:tcPr>
            <w:tcW w:type="dxa" w:w="4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No uncontrolled spills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Hard eco viol. rate</w:t>
            </w:r>
          </w:p>
        </w:tc>
        <w:tc>
          <w:tcPr>
            <w:tcW w:type="dxa" w:w="2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w:t>
            </w:r>
          </w:p>
        </w:tc>
        <w:tc>
          <w:tcPr>
            <w:tcW w:type="dxa" w:w="4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Random: 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Final λ_flood</w:t>
            </w:r>
          </w:p>
        </w:tc>
        <w:tc>
          <w:tcPr>
            <w:tcW w:type="dxa" w:w="2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0.3030</w:t>
            </w:r>
          </w:p>
        </w:tc>
        <w:tc>
          <w:tcPr>
            <w:tcW w:type="dxa" w:w="4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Init = 0.3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Final λ_eco</w:t>
            </w:r>
          </w:p>
        </w:tc>
        <w:tc>
          <w:tcPr>
            <w:tcW w:type="dxa" w:w="2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0.0939</w:t>
            </w:r>
          </w:p>
        </w:tc>
        <w:tc>
          <w:tcPr>
            <w:tcW w:type="dxa" w:w="404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Init = 0.1</w:t>
            </w:r>
          </w:p>
        </w:tc>
      </w:tr>
    </w:tbl>
    <w:p>
      <w:pPr>
        <w:spacing w:after="0" w:before="0"/>
      </w:pPr>
      <w:r>
        <w:rPr>
          <w:rFonts w:ascii="Times New Roman" w:cs="Times New Roman" w:eastAsia="Times New Roman" w:hAnsi="Times New Roman"/>
          <w:b w:val="false"/>
          <w:bCs w:val="false"/>
          <w:i w:val="false"/>
          <w:iCs w:val="false"/>
          <w:smallCaps w:val="false"/>
          <w:sz w:val="20"/>
          <w:szCs w:val="20"/>
        </w:rPr>
        <w:t xml:space="preserve"/>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D. Training Dynamics</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The reward curve (see Figure 1, Panel 1) stabilizes rapidly around episode 20 and remains steady near 20.0 cumulative reward throughout training, demonstrating that the policy converges early and does not degrade. The flood cost rate (Panel 2) drops sharply in the first 20 episodes from a peak of ~0.16, falling well below the soft threshold δ_flood = 0.00346 by episode 40 and remaining there for the remainder of training. The eco cost rate (Panel 3) begins below δ_eco and stays at essentially zero, reflecting that the SAC-Lagrangian agent learns to maintain releases above Q_min at all times.</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The Lagrangian dual variables (Panel 4) are highly stable: λ_flood settles near 0.30 throughout all 130 update steps, while λ_eco remains near 0.10. This stability is a direct result of the EMA smoothing and full-episode update frequency. The evaluation curves (Panel 5) show flood violation rate starting near 60% at step 10,000 and declining to below 30% by step 100,000, with eco violations at 0% throughout. The test bar chart (Panel 6) summarizes the final comparison: SAC-Lagrangian achieves 26% soft and 4% hard flood violations versus 100%/100% for the random baseline, while maintaining essentially equal reward (19.178 vs. 19.054).</w:t>
      </w:r>
    </w:p>
    <w:p>
      <w:pPr>
        <w:spacing w:after="80" w:before="60"/>
        <w:ind w:firstLine="0"/>
        <w:jc w:val="both"/>
      </w:pPr>
      <w:r>
        <w:rPr>
          <w:rFonts w:ascii="Times New Roman" w:cs="Times New Roman" w:eastAsia="Times New Roman" w:hAnsi="Times New Roman"/>
          <w:b/>
          <w:bCs/>
          <w:i w:val="false"/>
          <w:iCs w:val="false"/>
          <w:smallCaps w:val="false"/>
          <w:sz w:val="18"/>
          <w:szCs w:val="18"/>
        </w:rPr>
        <w:t xml:space="preserve">Figure 1. </w:t>
      </w:r>
      <w:r>
        <w:rPr>
          <w:rFonts w:ascii="Times New Roman" w:cs="Times New Roman" w:eastAsia="Times New Roman" w:hAnsi="Times New Roman"/>
          <w:b w:val="false"/>
          <w:bCs w:val="false"/>
          <w:i w:val="false"/>
          <w:iCs w:val="false"/>
          <w:smallCaps w:val="false"/>
          <w:sz w:val="18"/>
          <w:szCs w:val="18"/>
        </w:rPr>
        <w:t xml:space="preserve">Training dynamics and test-set comparison for SAC-Lagrangian (6 panels). Panel 1: Episode reward (hydropower × season factor) over training episodes. Panel 2: Mean flood cost per step vs. δ_flood (soft) and 2δ_flood (hard) thresholds. Panel 3: Mean eco cost per step vs. δ_eco thresholds. Panel 4: Lagrangian dual variables λ_flood and λ_eco over dual-update steps. Panel 5: Evaluation violation rates and reward vs. training steps. Panel 6: Final test-set bar chart comparing average reward and flood violation rates.</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E. Interpretation of Results</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The SAC-Lagrangian agent successfully reduces flood violations from 100% (random) to 26% soft and 4% hard on the test set—a significant improvement in constraint satisfaction while improving mean reward by 0.6%. The persistent 26% soft violation rate indicates that the calibrated threshold δ_flood = 0.003463 is tight, and some test episodes with extreme inflow patterns push the policy to its constraint boundary. The 4% hard violation rate (2 out of 50 episodes) represents cases of sustained high inflow where even an optimally constrained policy cannot fully prevent downstream surge.</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The ecological constraint is maintained at 0% violation throughout, confirming that the action-space change (allowing releases below Q_min) does not cause eco violations in practice—the Lagrangian penalty for λ_eco = 0.0939 is sufficient to discourage sub-minimum releases. Mean release of 868.2 m³/s is well above Q_min and substantially below Q_flood, showing that the agent operates in the safe operational zone. Zero spillway activation confirms that storage is managed proactively to avoid uncontrolled overflow.</w:t>
      </w:r>
    </w:p>
    <w:p>
      <w:pPr>
        <w:spacing w:after="60" w:before="100"/>
        <w:ind w:firstLine="0"/>
        <w:jc w:val="left"/>
      </w:pPr>
      <w:r>
        <w:rPr>
          <w:rFonts w:ascii="Times New Roman" w:cs="Times New Roman" w:eastAsia="Times New Roman" w:hAnsi="Times New Roman"/>
          <w:b w:val="false"/>
          <w:bCs w:val="false"/>
          <w:i/>
          <w:iCs/>
          <w:smallCaps w:val="false"/>
          <w:sz w:val="20"/>
          <w:szCs w:val="20"/>
        </w:rPr>
        <w:t xml:space="preserve">F. Fixes Summary</w:t>
      </w:r>
    </w:p>
    <w:p>
      <w:pPr>
        <w:spacing w:after="60" w:before="80"/>
        <w:jc w:val="center"/>
      </w:pPr>
      <w:r>
        <w:rPr>
          <w:rFonts w:ascii="Times New Roman" w:cs="Times New Roman" w:eastAsia="Times New Roman" w:hAnsi="Times New Roman"/>
          <w:b/>
          <w:bCs/>
          <w:i w:val="false"/>
          <w:iCs w:val="false"/>
          <w:smallCaps/>
          <w:sz w:val="16"/>
          <w:szCs w:val="16"/>
        </w:rPr>
        <w:t xml:space="preserve">TABLE IV</w:t>
      </w:r>
    </w:p>
    <w:p>
      <w:pPr>
        <w:spacing w:after="80" w:before="0"/>
        <w:jc w:val="center"/>
      </w:pPr>
      <w:r>
        <w:rPr>
          <w:rFonts w:ascii="Times New Roman" w:cs="Times New Roman" w:eastAsia="Times New Roman" w:hAnsi="Times New Roman"/>
          <w:b/>
          <w:bCs/>
          <w:i w:val="false"/>
          <w:iCs w:val="false"/>
          <w:smallCaps/>
          <w:sz w:val="16"/>
          <w:szCs w:val="16"/>
        </w:rPr>
        <w:t xml:space="preserve">Summary of Algorithmic Fixes and Contributions</w:t>
      </w:r>
    </w:p>
    <w:tbl>
      <w:tblPr>
        <w:tblW w:type="dxa" w:w="9284"/>
        <w:tblBorders>
          <w:top w:val="single" w:color="auto" w:sz="4"/>
          <w:left w:val="single" w:color="auto" w:sz="4"/>
          <w:bottom w:val="single" w:color="auto" w:sz="4"/>
          <w:right w:val="single" w:color="auto" w:sz="4"/>
          <w:insideH w:val="single" w:color="auto" w:sz="4"/>
          <w:insideV w:val="single" w:color="auto" w:sz="4"/>
        </w:tblBorders>
      </w:tblPr>
      <w:tblGrid>
        <w:gridCol w:w="420"/>
        <w:gridCol w:w="1500"/>
        <w:gridCol w:w="7364"/>
      </w:tblGrid>
      <w:tr>
        <w:tc>
          <w:tcPr>
            <w:tcW w:type="dxa" w:w="420"/>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w:t>
            </w:r>
          </w:p>
        </w:tc>
        <w:tc>
          <w:tcPr>
            <w:tcW w:type="dxa" w:w="1500"/>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Category</w:t>
            </w:r>
          </w:p>
        </w:tc>
        <w:tc>
          <w:tcPr>
            <w:tcW w:type="dxa" w:w="7364"/>
            <w:tcBorders>
              <w:top w:val="single" w:color="CCCCCC" w:sz="1"/>
              <w:left w:val="single" w:color="CCCCCC" w:sz="1"/>
              <w:bottom w:val="single" w:color="CCCCCC" w:sz="1"/>
              <w:right w:val="single" w:color="CCCCCC"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smallCaps w:val="false"/>
                <w:sz w:val="18"/>
                <w:szCs w:val="18"/>
              </w:rPr>
              <w:t xml:space="preserve">Description</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Critical</w:t>
            </w:r>
          </w:p>
        </w:tc>
        <w:tc>
          <w:tcPr>
            <w:tcW w:type="dxa" w:w="736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Action maps to [0, Q_max] — agent CAN release below Q_min; eco violations are real. True dual-constraint CMDP.</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Calibration</w:t>
            </w:r>
          </w:p>
        </w:tc>
        <w:tc>
          <w:tcPr>
            <w:tcW w:type="dxa" w:w="736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DELTA_FRACTION=0.60, ECO_DELTA_FLOOR=0.001 — thresholds meaningful since eco violations now occur.</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Stability</w:t>
            </w:r>
          </w:p>
        </w:tc>
        <w:tc>
          <w:tcPr>
            <w:tcW w:type="dxa" w:w="736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LR_LAMBDA=0.01 + EMA smoothing (0.9 old + 0.1 new) prevents λ spikes and regime switching.</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Temporal</w:t>
            </w:r>
          </w:p>
        </w:tc>
        <w:tc>
          <w:tcPr>
            <w:tcW w:type="dxa" w:w="736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LAMBDA_UPDATE_FREQ=720 (1 full episode) suppresses seasonal noise in partial-episode estimates.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Metrics</w:t>
            </w:r>
          </w:p>
        </w:tc>
        <w:tc>
          <w:tcPr>
            <w:tcW w:type="dxa" w:w="736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Soft=rate&gt;δ, hard=rate&gt;2δ matches CMDP theory; defensible in peer review.</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Reward</w:t>
            </w:r>
          </w:p>
        </w:tc>
        <w:tc>
          <w:tcPr>
            <w:tcW w:type="dxa" w:w="736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Season factor (1+0.2·sin(2πt/8760)) adds variability; improves learning signal differentiation.</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mallCaps w:val="false"/>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Retained</w:t>
            </w:r>
          </w:p>
        </w:tc>
        <w:tc>
          <w:tcPr>
            <w:tcW w:type="dxa" w:w="736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mallCaps w:val="false"/>
                <w:sz w:val="18"/>
                <w:szCs w:val="18"/>
              </w:rPr>
              <w:t xml:space="preserve">30-day episodes, trimmed-mean λ, pure hydropower reward base from prior work.</w:t>
            </w:r>
          </w:p>
        </w:tc>
      </w:tr>
    </w:tbl>
    <w:p>
      <w:pPr>
        <w:spacing w:after="0" w:before="0"/>
      </w:pPr>
      <w:r>
        <w:rPr>
          <w:rFonts w:ascii="Times New Roman" w:cs="Times New Roman" w:eastAsia="Times New Roman" w:hAnsi="Times New Roman"/>
          <w:b w:val="false"/>
          <w:bCs w:val="false"/>
          <w:i w:val="false"/>
          <w:iCs w:val="false"/>
          <w:smallCaps w:val="false"/>
          <w:sz w:val="20"/>
          <w:szCs w:val="20"/>
        </w:rPr>
        <w:t xml:space="preserve"/>
      </w:r>
    </w:p>
    <w:p>
      <w:pPr>
        <w:spacing w:after="80" w:before="160"/>
        <w:jc w:val="center"/>
      </w:pPr>
      <w:r>
        <w:rPr>
          <w:rFonts w:ascii="Times New Roman" w:cs="Times New Roman" w:eastAsia="Times New Roman" w:hAnsi="Times New Roman"/>
          <w:b/>
          <w:bCs/>
          <w:i w:val="false"/>
          <w:iCs w:val="false"/>
          <w:smallCaps/>
          <w:sz w:val="20"/>
          <w:szCs w:val="20"/>
        </w:rPr>
        <w:t xml:space="preserve">V.  Conclusion</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We presented ReservoirRL, a SAC-Lagrangian approach to safe dam release control formulated as a true dual-constraint Constrained Markov Decision Process. On the Folsom Reservoir dataset (test years WY2015–2023), the policy achieves 26% soft and 4% hard flood violation rates (versus 100%/100% for a random baseline), 0% ecological violations, mean flood cost per step of 0.002518 (below δ_flood = 0.003463), and a mean reward of 19.178 (vs. 19.054 for random). The calibrated constraint thresholds, EMA-smoothed full-episode Lagrangian dual update, season-varying reward signal, and CMDP-theory-aligned violation metrics are engineering contributions that together enable robust constraint satisfaction with stable training dynamics.</w:t>
      </w:r>
    </w:p>
    <w:p>
      <w:pPr>
        <w:spacing w:after="80" w:before="0"/>
        <w:ind w:firstLine="720"/>
        <w:jc w:val="both"/>
      </w:pPr>
      <w:r>
        <w:rPr>
          <w:rFonts w:ascii="Times New Roman" w:cs="Times New Roman" w:eastAsia="Times New Roman" w:hAnsi="Times New Roman"/>
          <w:b w:val="false"/>
          <w:bCs w:val="false"/>
          <w:i w:val="false"/>
          <w:iCs w:val="false"/>
          <w:smallCaps w:val="false"/>
          <w:sz w:val="20"/>
          <w:szCs w:val="20"/>
        </w:rPr>
        <w:t xml:space="preserve">The results confirm that constrained RL methods offer a principled improvement over unconstrained baselines for safety-critical continuous control. Future work will extend this framework to multi-reservoir systems with coupling constraints, incorporate probabilistic inflow forecasts into the state representation, and evaluate robustness to out-of-distribution extreme inflow scenarios with 1.5× historical peak rates.</w:t>
      </w:r>
    </w:p>
    <w:p>
      <w:pPr>
        <w:spacing w:after="80" w:before="160"/>
        <w:jc w:val="center"/>
      </w:pPr>
      <w:r>
        <w:rPr>
          <w:rFonts w:ascii="Times New Roman" w:cs="Times New Roman" w:eastAsia="Times New Roman" w:hAnsi="Times New Roman"/>
          <w:b/>
          <w:bCs/>
          <w:i w:val="false"/>
          <w:iCs w:val="false"/>
          <w:smallCaps/>
          <w:sz w:val="20"/>
          <w:szCs w:val="20"/>
        </w:rPr>
        <w:t xml:space="preserve">Acknowledgment</w:t>
      </w:r>
    </w:p>
    <w:p>
      <w:pPr>
        <w:spacing w:after="80" w:before="0"/>
        <w:ind w:firstLine="0"/>
        <w:jc w:val="both"/>
      </w:pPr>
      <w:r>
        <w:rPr>
          <w:rFonts w:ascii="Times New Roman" w:cs="Times New Roman" w:eastAsia="Times New Roman" w:hAnsi="Times New Roman"/>
          <w:b w:val="false"/>
          <w:bCs w:val="false"/>
          <w:i w:val="false"/>
          <w:iCs w:val="false"/>
          <w:smallCaps w:val="false"/>
          <w:sz w:val="20"/>
          <w:szCs w:val="20"/>
        </w:rPr>
        <w:t xml:space="preserve">The authors thank the U.S. Bureau of Reclamation for making Folsom Reservoir inflow records publicly available, and the Reinforcement Learning Course staff for guidance throughout this project. Experiments were conducted on Kaggle GPU instances. The authors also acknowledge the open-source communities behind PyTorch, Gymnasium, and the SAC reference implementation that formed the basis of this work.</w:t>
      </w:r>
    </w:p>
    <w:p>
      <w:pPr>
        <w:spacing w:after="80" w:before="160"/>
        <w:jc w:val="center"/>
      </w:pPr>
      <w:r>
        <w:rPr>
          <w:rFonts w:ascii="Times New Roman" w:cs="Times New Roman" w:eastAsia="Times New Roman" w:hAnsi="Times New Roman"/>
          <w:b/>
          <w:bCs/>
          <w:i w:val="false"/>
          <w:iCs w:val="false"/>
          <w:smallCaps/>
          <w:sz w:val="20"/>
          <w:szCs w:val="20"/>
        </w:rPr>
        <w:t xml:space="preserve">Author Contributions</w:t>
      </w:r>
    </w:p>
    <w:p>
      <w:pPr>
        <w:spacing w:after="80" w:before="0"/>
        <w:ind w:firstLine="0"/>
        <w:jc w:val="both"/>
      </w:pPr>
      <w:r>
        <w:rPr>
          <w:rFonts w:ascii="Times New Roman" w:cs="Times New Roman" w:eastAsia="Times New Roman" w:hAnsi="Times New Roman"/>
          <w:b w:val="false"/>
          <w:bCs w:val="false"/>
          <w:i w:val="false"/>
          <w:iCs w:val="false"/>
          <w:smallCaps w:val="false"/>
          <w:sz w:val="20"/>
          <w:szCs w:val="20"/>
        </w:rPr>
        <w:t xml:space="preserve">All authors contributed equally to this work. </w:t>
      </w:r>
      <w:r>
        <w:rPr>
          <w:rFonts w:ascii="Times New Roman" w:cs="Times New Roman" w:eastAsia="Times New Roman" w:hAnsi="Times New Roman"/>
          <w:b/>
          <w:bCs/>
          <w:i w:val="false"/>
          <w:iCs w:val="false"/>
          <w:smallCaps w:val="false"/>
          <w:sz w:val="20"/>
          <w:szCs w:val="20"/>
        </w:rPr>
        <w:t xml:space="preserve">Akshat Mishra</w:t>
      </w:r>
      <w:r>
        <w:rPr>
          <w:rFonts w:ascii="Times New Roman" w:cs="Times New Roman" w:eastAsia="Times New Roman" w:hAnsi="Times New Roman"/>
          <w:b w:val="false"/>
          <w:bCs w:val="false"/>
          <w:i w:val="false"/>
          <w:iCs w:val="false"/>
          <w:smallCaps w:val="false"/>
          <w:sz w:val="20"/>
          <w:szCs w:val="20"/>
        </w:rPr>
        <w:t xml:space="preserve"> contributed to the overall problem formulation as a Constrained Markov Decision Process, led aspects of the SAC-Lagrangian algorithm design, and collaborated on writing and structuring Sections I and III. </w:t>
      </w:r>
      <w:r>
        <w:rPr>
          <w:rFonts w:ascii="Times New Roman" w:cs="Times New Roman" w:eastAsia="Times New Roman" w:hAnsi="Times New Roman"/>
          <w:b/>
          <w:bCs/>
          <w:i w:val="false"/>
          <w:iCs w:val="false"/>
          <w:smallCaps w:val="false"/>
          <w:sz w:val="20"/>
          <w:szCs w:val="20"/>
        </w:rPr>
        <w:t xml:space="preserve">Mukul Jangra</w:t>
      </w:r>
      <w:r>
        <w:rPr>
          <w:rFonts w:ascii="Times New Roman" w:cs="Times New Roman" w:eastAsia="Times New Roman" w:hAnsi="Times New Roman"/>
          <w:b w:val="false"/>
          <w:bCs w:val="false"/>
          <w:i w:val="false"/>
          <w:iCs w:val="false"/>
          <w:smallCaps w:val="false"/>
          <w:sz w:val="20"/>
          <w:szCs w:val="20"/>
        </w:rPr>
        <w:t xml:space="preserve"> jointly developed the Gymnasium-compatible simulation environment and led aspects of data processing and inflow partitioning from the Folsom Reservoir dataset, and contributed to the experimental evaluation write-up in Section IV. </w:t>
      </w:r>
      <w:r>
        <w:rPr>
          <w:rFonts w:ascii="Times New Roman" w:cs="Times New Roman" w:eastAsia="Times New Roman" w:hAnsi="Times New Roman"/>
          <w:b/>
          <w:bCs/>
          <w:i w:val="false"/>
          <w:iCs w:val="false"/>
          <w:smallCaps w:val="false"/>
          <w:sz w:val="20"/>
          <w:szCs w:val="20"/>
        </w:rPr>
        <w:t xml:space="preserve">Devyansh Choudhary</w:t>
      </w:r>
      <w:r>
        <w:rPr>
          <w:rFonts w:ascii="Times New Roman" w:cs="Times New Roman" w:eastAsia="Times New Roman" w:hAnsi="Times New Roman"/>
          <w:b w:val="false"/>
          <w:bCs w:val="false"/>
          <w:i w:val="false"/>
          <w:iCs w:val="false"/>
          <w:smallCaps w:val="false"/>
          <w:sz w:val="20"/>
          <w:szCs w:val="20"/>
        </w:rPr>
        <w:t xml:space="preserve"> collaborated on the model implementation and training pipeline, including the dual cost-critic architecture and Lagrangian dual update mechanism, and contributed to the results analysis and interpretation in Section IV. </w:t>
      </w:r>
      <w:r>
        <w:rPr>
          <w:rFonts w:ascii="Times New Roman" w:cs="Times New Roman" w:eastAsia="Times New Roman" w:hAnsi="Times New Roman"/>
          <w:b/>
          <w:bCs/>
          <w:i w:val="false"/>
          <w:iCs w:val="false"/>
          <w:smallCaps w:val="false"/>
          <w:sz w:val="20"/>
          <w:szCs w:val="20"/>
        </w:rPr>
        <w:t xml:space="preserve">Mohak Agarwala</w:t>
      </w:r>
      <w:r>
        <w:rPr>
          <w:rFonts w:ascii="Times New Roman" w:cs="Times New Roman" w:eastAsia="Times New Roman" w:hAnsi="Times New Roman"/>
          <w:b w:val="false"/>
          <w:bCs w:val="false"/>
          <w:i w:val="false"/>
          <w:iCs w:val="false"/>
          <w:smallCaps w:val="false"/>
          <w:sz w:val="20"/>
          <w:szCs w:val="20"/>
        </w:rPr>
        <w:t xml:space="preserve"> led aspects of the experimental design and evaluation methodology, contributed to calibrating constraint thresholds and violation metrics, and collaborated on editing and proofreading the manuscript throughout. </w:t>
      </w:r>
      <w:r>
        <w:rPr>
          <w:rFonts w:ascii="Times New Roman" w:cs="Times New Roman" w:eastAsia="Times New Roman" w:hAnsi="Times New Roman"/>
          <w:b/>
          <w:bCs/>
          <w:i w:val="false"/>
          <w:iCs w:val="false"/>
          <w:smallCaps w:val="false"/>
          <w:sz w:val="20"/>
          <w:szCs w:val="20"/>
        </w:rPr>
        <w:t xml:space="preserve">Mudit Surana</w:t>
      </w:r>
      <w:r>
        <w:rPr>
          <w:rFonts w:ascii="Times New Roman" w:cs="Times New Roman" w:eastAsia="Times New Roman" w:hAnsi="Times New Roman"/>
          <w:b w:val="false"/>
          <w:bCs w:val="false"/>
          <w:i w:val="false"/>
          <w:iCs w:val="false"/>
          <w:smallCaps w:val="false"/>
          <w:sz w:val="20"/>
          <w:szCs w:val="20"/>
        </w:rPr>
        <w:t xml:space="preserve"> contributed to the reward function design and season-varying shaping strategy, jointly developed the engineering improvements including EMA-smoothed Lagrangian updates and 30-day episodic setup, and led aspects of writing the abstract, conclusion, and references.</w:t>
      </w:r>
    </w:p>
    <w:p>
      <w:pPr>
        <w:spacing w:after="80" w:before="160"/>
        <w:jc w:val="center"/>
      </w:pPr>
      <w:r>
        <w:rPr>
          <w:rFonts w:ascii="Times New Roman" w:cs="Times New Roman" w:eastAsia="Times New Roman" w:hAnsi="Times New Roman"/>
          <w:b/>
          <w:bCs/>
          <w:i w:val="false"/>
          <w:iCs w:val="false"/>
          <w:smallCaps/>
          <w:sz w:val="20"/>
          <w:szCs w:val="20"/>
        </w:rPr>
        <w:t xml:space="preserve">References</w:t>
      </w:r>
    </w:p>
    <w:p>
      <w:pPr>
        <w:spacing w:after="60" w:before="0"/>
        <w:ind w:left="560" w:hanging="560"/>
        <w:jc w:val="both"/>
      </w:pPr>
      <w:r>
        <w:rPr>
          <w:rFonts w:ascii="Times New Roman" w:cs="Times New Roman" w:eastAsia="Times New Roman" w:hAnsi="Times New Roman"/>
          <w:b w:val="false"/>
          <w:bCs w:val="false"/>
          <w:i w:val="false"/>
          <w:iCs w:val="false"/>
          <w:smallCaps w:val="false"/>
          <w:sz w:val="16"/>
          <w:szCs w:val="16"/>
        </w:rPr>
        <w:t xml:space="preserve">[1] E. Altman, Constrained Markov Decision Processes, Boca Raton, FL: CRC Press, 1999.</w:t>
      </w:r>
    </w:p>
    <w:p>
      <w:pPr>
        <w:spacing w:after="60" w:before="0"/>
        <w:ind w:left="560" w:hanging="560"/>
        <w:jc w:val="both"/>
      </w:pPr>
      <w:r>
        <w:rPr>
          <w:rFonts w:ascii="Times New Roman" w:cs="Times New Roman" w:eastAsia="Times New Roman" w:hAnsi="Times New Roman"/>
          <w:b w:val="false"/>
          <w:bCs w:val="false"/>
          <w:i w:val="false"/>
          <w:iCs w:val="false"/>
          <w:smallCaps w:val="false"/>
          <w:sz w:val="16"/>
          <w:szCs w:val="16"/>
        </w:rPr>
        <w:t xml:space="preserve">[2] S. Sadeghi Tabas, S. Samadi, and H. Akbari, “Optimal multi-objective operation of reservoir considering water quality using DDPG-based DRL algorithm,” Water Resources Management, vol. 35, pp. 3713–3730, 2021.</w:t>
      </w:r>
    </w:p>
    <w:p>
      <w:pPr>
        <w:spacing w:after="60" w:before="0"/>
        <w:ind w:left="560" w:hanging="560"/>
        <w:jc w:val="both"/>
      </w:pPr>
      <w:r>
        <w:rPr>
          <w:rFonts w:ascii="Times New Roman" w:cs="Times New Roman" w:eastAsia="Times New Roman" w:hAnsi="Times New Roman"/>
          <w:b w:val="false"/>
          <w:bCs w:val="false"/>
          <w:i w:val="false"/>
          <w:iCs w:val="false"/>
          <w:smallCaps w:val="false"/>
          <w:sz w:val="16"/>
          <w:szCs w:val="16"/>
        </w:rPr>
        <w:t xml:space="preserve">[3] P. Yi and Y. Yi, “Deep reinforcement learning for optimal real-time flood control,” Journal of Water Resources Planning and Management, vol. 151, no. 2, 2025.</w:t>
      </w:r>
    </w:p>
    <w:p>
      <w:pPr>
        <w:spacing w:after="60" w:before="0"/>
        <w:ind w:left="560" w:hanging="560"/>
        <w:jc w:val="both"/>
      </w:pPr>
      <w:r>
        <w:rPr>
          <w:rFonts w:ascii="Times New Roman" w:cs="Times New Roman" w:eastAsia="Times New Roman" w:hAnsi="Times New Roman"/>
          <w:b w:val="false"/>
          <w:bCs w:val="false"/>
          <w:i w:val="false"/>
          <w:iCs w:val="false"/>
          <w:smallCaps w:val="false"/>
          <w:sz w:val="16"/>
          <w:szCs w:val="16"/>
        </w:rPr>
        <w:t xml:space="preserve">[4] T. Haarnoja et al., “Soft actor-critic: Off-policy maximum entropy deep reinforcement learning with a stochastic actor,” in Proc. ICML, 2018.</w:t>
      </w:r>
    </w:p>
    <w:p>
      <w:pPr>
        <w:spacing w:after="60" w:before="0"/>
        <w:ind w:left="560" w:hanging="560"/>
        <w:jc w:val="both"/>
      </w:pPr>
      <w:r>
        <w:rPr>
          <w:rFonts w:ascii="Times New Roman" w:cs="Times New Roman" w:eastAsia="Times New Roman" w:hAnsi="Times New Roman"/>
          <w:b w:val="false"/>
          <w:bCs w:val="false"/>
          <w:i w:val="false"/>
          <w:iCs w:val="false"/>
          <w:smallCaps w:val="false"/>
          <w:sz w:val="16"/>
          <w:szCs w:val="16"/>
        </w:rPr>
        <w:t xml:space="preserve">[5] J. Schulman, F. Wolski, P. Dhariwal, A. Radford, and O. Klimov, “Proximal policy optimization algorithms,” arXiv:1707.06347, 2017.</w:t>
      </w:r>
    </w:p>
    <w:p>
      <w:pPr>
        <w:spacing w:after="60" w:before="0"/>
        <w:ind w:left="560" w:hanging="560"/>
        <w:jc w:val="both"/>
      </w:pPr>
      <w:r>
        <w:rPr>
          <w:rFonts w:ascii="Times New Roman" w:cs="Times New Roman" w:eastAsia="Times New Roman" w:hAnsi="Times New Roman"/>
          <w:b w:val="false"/>
          <w:bCs w:val="false"/>
          <w:i w:val="false"/>
          <w:iCs w:val="false"/>
          <w:smallCaps w:val="false"/>
          <w:sz w:val="16"/>
          <w:szCs w:val="16"/>
        </w:rPr>
        <w:t xml:space="preserve">[6] Y. Chow, A. Tamar, S. Mannor, and M. Pavone, “Risk-sensitive and robust decision-making: A CVaR optimization approach,” in Proc. NeurIPS, 2015, pp. 1522–1530.</w:t>
      </w:r>
    </w:p>
    <w:p>
      <w:pPr>
        <w:spacing w:after="60" w:before="0"/>
        <w:ind w:left="560" w:hanging="560"/>
        <w:jc w:val="both"/>
      </w:pPr>
      <w:r>
        <w:rPr>
          <w:rFonts w:ascii="Times New Roman" w:cs="Times New Roman" w:eastAsia="Times New Roman" w:hAnsi="Times New Roman"/>
          <w:b w:val="false"/>
          <w:bCs w:val="false"/>
          <w:i w:val="false"/>
          <w:iCs w:val="false"/>
          <w:smallCaps w:val="false"/>
          <w:sz w:val="16"/>
          <w:szCs w:val="16"/>
        </w:rPr>
        <w:t xml:space="preserve">[7] J. García and F. Fernández, “A comprehensive survey on safe reinforcement learning,” J. Machine Learning Research, vol. 16, pp. 1437–1480, 2015.</w:t>
      </w:r>
    </w:p>
    <w:p>
      <w:pPr>
        <w:spacing w:after="60" w:before="0"/>
        <w:ind w:left="560" w:hanging="560"/>
        <w:jc w:val="both"/>
      </w:pPr>
      <w:r>
        <w:rPr>
          <w:rFonts w:ascii="Times New Roman" w:cs="Times New Roman" w:eastAsia="Times New Roman" w:hAnsi="Times New Roman"/>
          <w:b w:val="false"/>
          <w:bCs w:val="false"/>
          <w:i w:val="false"/>
          <w:iCs w:val="false"/>
          <w:smallCaps w:val="false"/>
          <w:sz w:val="16"/>
          <w:szCs w:val="16"/>
        </w:rPr>
        <w:t xml:space="preserve">[8] A. Ray, J. Achiam, and D. Amodei, “Benchmarking safe exploration in deep reinforcement learning,” arXiv:1910.01708, 2019.</w:t>
      </w:r>
    </w:p>
    <w:sectPr>
      <w:pgSz w:w="11906" w:h="16838" w:orient="portrait"/>
      <w:pgMar w:top="1079" w:right="811" w:bottom="2437" w:left="8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2026-05-04T18:29:44.026Z</dcterms:created>
  <dcterms:modified xsi:type="dcterms:W3CDTF">2026-05-04T18:29:44.043Z</dcterms:modified>
</cp:coreProperties>
</file>

<file path=docProps/custom.xml><?xml version="1.0" encoding="utf-8"?>
<Properties xmlns="http://schemas.openxmlformats.org/officeDocument/2006/custom-properties" xmlns:vt="http://schemas.openxmlformats.org/officeDocument/2006/docPropsVTypes"/>
</file>