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主机模块应用验证方案 单机</w:t>
      </w:r>
    </w:p>
    <w:p>
      <w:pPr>
        <w:pStyle w:val="Heading1"/>
      </w:pPr>
      <w:r>
        <w:rPr>
          <w:b w:val="0"/>
        </w:rPr>
        <w:t>1. 目标与范围</w:t>
      </w:r>
    </w:p>
    <w:p>
      <w:r>
        <w:rPr>
          <w:b w:val="0"/>
        </w:rPr>
        <w:t>以管理板 CPU 已能读写主机 FPGA 寄存器为起点，规划 CPU 与主机 FPGA 之间的数据交互和主机内部业务逻辑验证。假设 H2C、C2H 尚未接入或验证；先确认并接入驱动提供的数据传输能力，再由应用组织测试。已有提前完成的 DMA 实验仅供方法参考，不作为本方案的通过结论。</w:t>
      </w:r>
    </w:p>
    <w:p>
      <w:r>
        <w:rPr>
          <w:b w:val="0"/>
        </w:rPr>
        <w:t>测试对象为管理板 CPU、主机 FPGA 和主机 DDR；不连接真实子机。上行使用 FPGA 的 VIO 固定测试源，ILA 和板级测量用于辅助观察。测试结果应区分实板、仿真和待验证。</w:t>
      </w:r>
    </w:p>
    <w:p>
      <w:pPr>
        <w:pStyle w:val="Heading1"/>
      </w:pPr>
      <w:r>
        <w:rPr>
          <w:b w:val="0"/>
        </w:rPr>
        <w:t>2. 验证策略与应用接口</w:t>
      </w:r>
    </w:p>
    <w:p>
      <w:r>
        <w:rPr>
          <w:b w:val="0"/>
        </w:rPr>
        <w:t>按“环境与配置 → DDR 数据往返 → 模拟上行与队列 → 同步、中断及异常”的顺序开展。管理板应用负责准备数据、调用 DMA、操作业务寄存器、比较结果并记录日志；驱动负责提供寄存器访问和 DMA 传输能力。</w:t>
      </w:r>
    </w:p>
    <w:p>
      <w:pPr>
        <w:pStyle w:val="ListBullet"/>
        <w:spacing w:after="60" w:line="283" w:lineRule="auto"/>
      </w:pPr>
      <w:r>
        <w:rPr>
          <w:b/>
        </w:rPr>
        <w:t>寄存器访问</w:t>
      </w:r>
      <w:r>
        <w:rPr>
          <w:b w:val="0"/>
        </w:rPr>
        <w:t>：按用户 BAR 相对偏移进行 32 bit 小端读写。启动时核对实际 FPGA 版本、DDR 就绪和异常状态；BAR 地址由设备枚举和驱动映射确定。</w:t>
      </w:r>
    </w:p>
    <w:p>
      <w:pPr>
        <w:pStyle w:val="ListBullet"/>
        <w:spacing w:after="60" w:line="283" w:lineRule="auto"/>
      </w:pPr>
      <w:r>
        <w:rPr>
          <w:b/>
        </w:rPr>
        <w:t>DMA 接口</w:t>
      </w:r>
      <w:r>
        <w:rPr>
          <w:b w:val="0"/>
        </w:rPr>
        <w:t>：确认 H2C、C2H 的设备入口、卡端 DDR 地址、CPU 缓冲区、长度、对齐要求、完成字节数、超时及错误返回。若驱动缺少所需接口，先由驱动侧补齐；测试应用不假定接口已可用。</w:t>
      </w:r>
    </w:p>
    <w:p>
      <w:pPr>
        <w:pStyle w:val="ListBullet"/>
        <w:spacing w:after="60" w:line="283" w:lineRule="auto"/>
      </w:pPr>
      <w:r>
        <w:rPr>
          <w:b/>
        </w:rPr>
        <w:t>上行处理</w:t>
      </w:r>
      <w:r>
        <w:rPr>
          <w:b w:val="0"/>
        </w:rPr>
        <w:t xml:space="preserve">：单一消费者检查 </w:t>
      </w:r>
      <w:r>
        <w:rPr>
          <w:rFonts w:ascii="Consolas" w:hAnsi="Consolas" w:eastAsia="等线"/>
          <w:b w:val="0"/>
        </w:rPr>
        <w:t>0x30</w:t>
      </w:r>
      <w:r>
        <w:rPr>
          <w:b w:val="0"/>
        </w:rPr>
        <w:t xml:space="preserve">，逐块读取 </w:t>
      </w:r>
      <w:r>
        <w:rPr>
          <w:rFonts w:ascii="Consolas" w:hAnsi="Consolas" w:eastAsia="等线"/>
          <w:b w:val="0"/>
        </w:rPr>
        <w:t>0x18/0x1C</w:t>
      </w:r>
      <w:r>
        <w:rPr>
          <w:b w:val="0"/>
        </w:rPr>
        <w:t xml:space="preserve">，完成 C2H 并比较有效数据后，再向 </w:t>
      </w:r>
      <w:r>
        <w:rPr>
          <w:rFonts w:ascii="Consolas" w:hAnsi="Consolas" w:eastAsia="等线"/>
          <w:b w:val="0"/>
        </w:rPr>
        <w:t>0x14</w:t>
      </w:r>
      <w:r>
        <w:rPr>
          <w:b w:val="0"/>
        </w:rPr>
        <w:t xml:space="preserve"> 写 1 归还一次。</w:t>
      </w:r>
      <w:r>
        <w:rPr>
          <w:rFonts w:ascii="Consolas" w:hAnsi="Consolas" w:eastAsia="等线"/>
          <w:b w:val="0"/>
        </w:rPr>
        <w:t>0x10</w:t>
      </w:r>
      <w:r>
        <w:rPr>
          <w:b w:val="0"/>
        </w:rPr>
        <w:t xml:space="preserve"> 是读清通知及相关异常记录，读取前先保存 </w:t>
      </w:r>
      <w:r>
        <w:rPr>
          <w:rFonts w:ascii="Consolas" w:hAnsi="Consolas" w:eastAsia="等线"/>
          <w:b w:val="0"/>
        </w:rPr>
        <w:t>0x2C</w:t>
      </w:r>
      <w:r>
        <w:rPr>
          <w:b w:val="0"/>
        </w:rPr>
        <w:t>，读清本身不归还数据块。</w:t>
      </w:r>
    </w:p>
    <w:p>
      <w:pPr>
        <w:pStyle w:val="ListBullet"/>
        <w:spacing w:after="60" w:line="283" w:lineRule="auto"/>
      </w:pPr>
      <w:r>
        <w:rPr>
          <w:b/>
        </w:rPr>
        <w:t>数据顺序与记录</w:t>
      </w:r>
      <w:r>
        <w:rPr>
          <w:b w:val="0"/>
        </w:rPr>
        <w:t xml:space="preserve">：记录卡端地址、有效长度、DMA 请求和完成长度、数据比对、队列状态及 </w:t>
      </w:r>
      <w:r>
        <w:rPr>
          <w:rFonts w:ascii="Consolas" w:hAnsi="Consolas" w:eastAsia="等线"/>
          <w:b w:val="0"/>
        </w:rPr>
        <w:t>0x38</w:t>
      </w:r>
      <w:r>
        <w:rPr>
          <w:b w:val="0"/>
        </w:rPr>
        <w:t xml:space="preserve"> 丢字计数。DMA 失败、短传输或数据不一致时停止并保留现场，不归还该块或盲目重试。</w:t>
      </w:r>
    </w:p>
    <w:p>
      <w:pPr>
        <w:pStyle w:val="Heading1"/>
      </w:pPr>
      <w:r>
        <w:rPr>
          <w:b w:val="0"/>
        </w:rPr>
        <w:t>3. 测试项与通过条件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474"/>
        <w:gridCol w:w="3855"/>
        <w:gridCol w:w="4195"/>
      </w:tblGrid>
      <w:tr>
        <w:trPr>
          <w:tblHeader w:val="true"/>
        </w:trPr>
        <w:tc>
          <w:tcPr>
            <w:tcW w:type="dxa" w:w="1474"/>
            <w:vAlign w:val="center"/>
            <w:shd w:fill="34495E"/>
          </w:tcPr>
          <w:p>
            <w:pPr>
              <w:spacing w:line="269" w:lineRule="auto" w:after="0"/>
              <w:jc w:val="center"/>
            </w:pPr>
            <w:r>
              <w:rPr>
                <w:b/>
                <w:color w:val="FFFFFF"/>
                <w:sz w:val="19"/>
              </w:rPr>
              <w:t>测试项</w:t>
            </w:r>
          </w:p>
        </w:tc>
        <w:tc>
          <w:tcPr>
            <w:tcW w:type="dxa" w:w="3855"/>
            <w:vAlign w:val="center"/>
            <w:shd w:fill="34495E"/>
          </w:tcPr>
          <w:p>
            <w:pPr>
              <w:spacing w:line="269" w:lineRule="auto" w:after="0"/>
              <w:jc w:val="left"/>
            </w:pPr>
            <w:r>
              <w:rPr>
                <w:b/>
                <w:color w:val="FFFFFF"/>
                <w:sz w:val="19"/>
              </w:rPr>
              <w:t>验证方法</w:t>
            </w:r>
          </w:p>
        </w:tc>
        <w:tc>
          <w:tcPr>
            <w:tcW w:type="dxa" w:w="4195"/>
            <w:vAlign w:val="center"/>
            <w:shd w:fill="34495E"/>
          </w:tcPr>
          <w:p>
            <w:pPr>
              <w:spacing w:line="269" w:lineRule="auto" w:after="0"/>
              <w:jc w:val="left"/>
            </w:pPr>
            <w:r>
              <w:rPr>
                <w:b/>
                <w:color w:val="FFFFFF"/>
                <w:sz w:val="19"/>
              </w:rPr>
              <w:t>通过条件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19"/>
              </w:rPr>
              <w:t>环境与状态</w:t>
            </w:r>
          </w:p>
        </w:tc>
        <w:tc>
          <w:tcPr>
            <w:tcW w:type="dxa" w:w="3855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 xml:space="preserve">确认 PCIe 设备、驱动、用户 BAR 和 FPGA 版本；读取 </w:t>
            </w:r>
            <w:r>
              <w:rPr>
                <w:rFonts w:ascii="Consolas" w:hAnsi="Consolas" w:eastAsia="等线"/>
                <w:b w:val="0"/>
                <w:sz w:val="19"/>
              </w:rPr>
              <w:t>0x2C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等线"/>
                <w:b w:val="0"/>
                <w:sz w:val="19"/>
              </w:rPr>
              <w:t>0x30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等线"/>
                <w:b w:val="0"/>
                <w:sz w:val="19"/>
              </w:rPr>
              <w:t>0x38</w:t>
            </w:r>
            <w:r>
              <w:rPr>
                <w:b w:val="0"/>
                <w:sz w:val="19"/>
              </w:rPr>
              <w:t>。</w:t>
            </w:r>
          </w:p>
        </w:tc>
        <w:tc>
          <w:tcPr>
            <w:tcW w:type="dxa" w:w="4195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>设备与版本匹配；DDR 校准和业务就绪，记录异常及丢字基线。</w:t>
            </w:r>
          </w:p>
        </w:tc>
      </w:tr>
      <w:tr>
        <w:trPr/>
        <w:tc>
          <w:tcPr>
            <w:tcW w:type="dxa" w:w="1474"/>
            <w:vAlign w:val="center"/>
            <w:shd w:fill="F3F6F9"/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19"/>
              </w:rPr>
              <w:t>下行配置</w:t>
            </w:r>
          </w:p>
        </w:tc>
        <w:tc>
          <w:tcPr>
            <w:tcW w:type="dxa" w:w="3855"/>
            <w:vAlign w:val="center"/>
            <w:shd w:fill="F3F6F9"/>
          </w:tcPr>
          <w:p>
            <w:pPr>
              <w:spacing w:line="269" w:lineRule="auto" w:after="0"/>
            </w:pPr>
            <w:r>
              <w:rPr>
                <w:rFonts w:ascii="等线" w:hAnsi="等线" w:eastAsia="等线"/>
                <w:sz w:val="19"/>
              </w:rPr>
              <w:t>在 0x20 空闲状态写入合法的 0x24 地址、0x28 长度并回读；测试后在健康空闲时恢复原配置。</w:t>
            </w:r>
          </w:p>
        </w:tc>
        <w:tc>
          <w:tcPr>
            <w:tcW w:type="dxa" w:w="4195"/>
            <w:vAlign w:val="center"/>
            <w:shd w:fill="F3F6F9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>写入与回读一致；配置动作不自行启动发送，原配置恢复。</w:t>
            </w:r>
          </w:p>
        </w:tc>
      </w:tr>
      <w:tr>
        <w:trPr/>
        <w:tc>
          <w:tcPr>
            <w:tcW w:type="dxa" w:w="1474"/>
            <w:vAlign w:val="center"/>
            <w:shd w:fill="F3F6F9"/>
          </w:tcPr>
          <w:p>
            <w:pPr>
              <w:spacing w:line="269" w:lineRule="auto" w:after="0"/>
            </w:pPr>
            <w:r>
              <w:rPr>
                <w:rFonts w:ascii="等线" w:hAnsi="等线" w:eastAsia="等线"/>
                <w:sz w:val="19"/>
              </w:rPr>
              <w:t>下行命令局部检查</w:t>
            </w:r>
          </w:p>
        </w:tc>
        <w:tc>
          <w:tcPr>
            <w:tcW w:type="dxa" w:w="3855"/>
            <w:vAlign w:val="center"/>
            <w:shd w:fill="F3F6F9"/>
          </w:tcPr>
          <w:p>
            <w:pPr>
              <w:spacing w:line="269" w:lineRule="auto" w:after="0"/>
            </w:pPr>
            <w:r>
              <w:rPr>
                <w:rFonts w:ascii="等线" w:hAnsi="等线" w:eastAsia="等线"/>
                <w:sz w:val="19"/>
              </w:rPr>
              <w:t>在满足现场条件时提交一次合法下行命令，记录 0x20 及本地状态，必要时结合 ILA 观察。</w:t>
            </w:r>
          </w:p>
        </w:tc>
        <w:tc>
          <w:tcPr>
            <w:tcW w:type="dxa" w:w="4195"/>
            <w:vAlign w:val="center"/>
            <w:shd w:fill="F3F6F9"/>
          </w:tcPr>
          <w:p>
            <w:pPr>
              <w:spacing w:line="269" w:lineRule="auto" w:after="0"/>
            </w:pPr>
            <w:r>
              <w:rPr>
                <w:rFonts w:ascii="等线" w:hAnsi="等线" w:eastAsia="等线"/>
                <w:sz w:val="19"/>
              </w:rPr>
              <w:t>命令结束后返回空闲；无真实对端时仅记录本地行为，不判定 10G 发送成功。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19"/>
              </w:rPr>
              <w:t>DDR 数据往返</w:t>
            </w:r>
          </w:p>
        </w:tc>
        <w:tc>
          <w:tcPr>
            <w:tcW w:type="dxa" w:w="3855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 xml:space="preserve">从下行窗口 </w:t>
            </w:r>
            <w:r>
              <w:rPr>
                <w:rFonts w:ascii="Consolas" w:hAnsi="Consolas" w:eastAsia="等线"/>
                <w:b w:val="0"/>
                <w:sz w:val="19"/>
              </w:rPr>
              <w:t>0x8000</w:t>
            </w:r>
            <w:r>
              <w:rPr>
                <w:b w:val="0"/>
                <w:sz w:val="19"/>
              </w:rPr>
              <w:t xml:space="preserve"> 开始，以 16 Byte 已知数据进行 H2C 写入和 C2H 回读，再测试合法的多帧和窗口边界长度。</w:t>
            </w:r>
          </w:p>
        </w:tc>
        <w:tc>
          <w:tcPr>
            <w:tcW w:type="dxa" w:w="4195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>每次 DMA 完成长度与请求一致，全部数据相同，无新增 DDR 异常。窗口最大 32 KiB；实际请求须符合驱动对齐和长度要求。</w:t>
            </w:r>
          </w:p>
        </w:tc>
      </w:tr>
      <w:tr>
        <w:trPr/>
        <w:tc>
          <w:tcPr>
            <w:tcW w:type="dxa" w:w="1474"/>
            <w:vAlign w:val="center"/>
            <w:shd w:fill="F3F6F9"/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19"/>
              </w:rPr>
              <w:t>单块上行</w:t>
            </w:r>
          </w:p>
        </w:tc>
        <w:tc>
          <w:tcPr>
            <w:tcW w:type="dxa" w:w="3855"/>
            <w:vAlign w:val="center"/>
            <w:shd w:fill="F3F6F9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 xml:space="preserve">在 </w:t>
            </w:r>
            <w:r>
              <w:rPr>
                <w:rFonts w:ascii="Consolas" w:hAnsi="Consolas" w:eastAsia="等线"/>
                <w:b w:val="0"/>
                <w:sz w:val="19"/>
              </w:rPr>
              <w:t>RX_VIO_TEST_ENABLE=1</w:t>
            </w:r>
            <w:r>
              <w:rPr>
                <w:b w:val="0"/>
                <w:sz w:val="19"/>
              </w:rPr>
              <w:t xml:space="preserve"> 的测试版本中，VIO 注入固定数据；读取队头、C2H 并比较后归还。</w:t>
            </w:r>
          </w:p>
        </w:tc>
        <w:tc>
          <w:tcPr>
            <w:tcW w:type="dxa" w:w="4195"/>
            <w:vAlign w:val="center"/>
            <w:shd w:fill="F3F6F9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 xml:space="preserve">一次形成一个有效长度为 8 Byte 的块，数据为 </w:t>
            </w:r>
            <w:r>
              <w:rPr>
                <w:rFonts w:ascii="Consolas" w:hAnsi="Consolas" w:eastAsia="等线"/>
                <w:b w:val="0"/>
                <w:sz w:val="19"/>
              </w:rPr>
              <w:t>11 00 00 00 22 00 00 00</w:t>
            </w:r>
            <w:r>
              <w:rPr>
                <w:b w:val="0"/>
                <w:sz w:val="19"/>
              </w:rPr>
              <w:t>；读清通知不改变队头，归还后该块释放。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19"/>
              </w:rPr>
              <w:t>多块与环回</w:t>
            </w:r>
          </w:p>
        </w:tc>
        <w:tc>
          <w:tcPr>
            <w:tcW w:type="dxa" w:w="3855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>按 2 块、8 块、2 块积累和排空；每块使用返回的地址、长度及序号。</w:t>
            </w:r>
          </w:p>
        </w:tc>
        <w:tc>
          <w:tcPr>
            <w:tcW w:type="dxa" w:w="4195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>块数变化正确，数据和顺序一致，覆盖 8 个槽并最终排空，无新增丢字。</w:t>
            </w:r>
          </w:p>
        </w:tc>
      </w:tr>
      <w:tr>
        <w:trPr/>
        <w:tc>
          <w:tcPr>
            <w:tcW w:type="dxa" w:w="1474"/>
            <w:vAlign w:val="center"/>
            <w:shd w:fill="F3F6F9"/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19"/>
              </w:rPr>
              <w:t>50 µs 同步</w:t>
            </w:r>
          </w:p>
        </w:tc>
        <w:tc>
          <w:tcPr>
            <w:tcW w:type="dxa" w:w="3855"/>
            <w:vAlign w:val="center"/>
            <w:shd w:fill="F3F6F9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>在 FPGA 测试点测量周期与高低电平；确认接线后，由 CPU 记录 GPIO 上升沿、间隔和超期情况。</w:t>
            </w:r>
          </w:p>
        </w:tc>
        <w:tc>
          <w:tcPr>
            <w:tcW w:type="dxa" w:w="4195"/>
            <w:vAlign w:val="center"/>
            <w:shd w:fill="F3F6F9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>板侧周期约 50 µs、高低各约 25 µs；CPU 侧能接收并记录上升沿。CPU 调度时延以实测为准。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19"/>
              </w:rPr>
              <w:t>用户通知</w:t>
            </w:r>
          </w:p>
        </w:tc>
        <w:tc>
          <w:tcPr>
            <w:tcW w:type="dxa" w:w="3855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>驱动支持用户中断时，在队列为空时使能通知，触发 VIO 并完成取块。</w:t>
            </w:r>
          </w:p>
        </w:tc>
        <w:tc>
          <w:tcPr>
            <w:tcW w:type="dxa" w:w="4195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>CPU 实际收到通知；读清不释放块，应用按队列数量读取并归还至空。</w:t>
            </w:r>
          </w:p>
        </w:tc>
      </w:tr>
      <w:tr>
        <w:trPr/>
        <w:tc>
          <w:tcPr>
            <w:tcW w:type="dxa" w:w="1474"/>
            <w:vAlign w:val="center"/>
            <w:shd w:fill="F3F6F9"/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19"/>
              </w:rPr>
              <w:t>异常与丢字</w:t>
            </w:r>
          </w:p>
        </w:tc>
        <w:tc>
          <w:tcPr>
            <w:tcW w:type="dxa" w:w="3855"/>
            <w:vAlign w:val="center"/>
            <w:shd w:fill="F3F6F9"/>
          </w:tcPr>
          <w:p>
            <w:pPr>
              <w:spacing w:line="269" w:lineRule="auto" w:after="0"/>
              <w:jc w:val="left"/>
            </w:pPr>
            <w:r>
              <w:rPr>
                <w:b w:val="0"/>
                <w:sz w:val="19"/>
              </w:rPr>
              <w:t>通过可控的测试桩、仿真或具备条件的现场方法检查 DMA 错误、短传输、超时及丢字状态。</w:t>
            </w:r>
          </w:p>
        </w:tc>
        <w:tc>
          <w:tcPr>
            <w:tcW w:type="dxa" w:w="4195"/>
            <w:vAlign w:val="center"/>
            <w:shd w:fill="F3F6F9"/>
          </w:tcPr>
          <w:p>
            <w:pPr>
              <w:spacing w:line="269" w:lineRule="auto" w:after="0"/>
            </w:pPr>
            <w:r>
              <w:rPr>
                <w:rFonts w:ascii="等线" w:hAnsi="等线" w:eastAsia="等线"/>
                <w:sz w:val="19"/>
              </w:rPr>
              <w:t>能记录失败与状态，失败块不归还；0x38 以丢失的 32 bit 有效字为单位，发现增加时报告丢字；计数饱和后无法据此确认无新增丢字。</w:t>
            </w:r>
          </w:p>
        </w:tc>
      </w:tr>
    </w:tbl>
    <w:p>
      <w:pPr>
        <w:spacing w:after="0"/>
      </w:pPr>
    </w:p>
    <w:p>
      <w:r>
        <w:rPr>
          <w:b w:val="0"/>
        </w:rPr>
        <w:t>VIO 固定源可验证单块和多槽队列协议，但队列满后会拒绝继续注入，不能据此证明真实 Aurora 过载丢字行为；单字尾部、大块和溢出等场景需具备相应激励或用仿真补充。若 DMA 仅支持 16 Byte 对齐请求，单块可在确认安全的前提下读取 16 Byte，只比较前 8 Byte 有效数据，并分别记录请求长度和有效长度。</w:t>
      </w:r>
    </w:p>
    <w:p>
      <w:pPr>
        <w:pStyle w:val="Heading1"/>
      </w:pPr>
      <w:r>
        <w:rPr>
          <w:b w:val="0"/>
        </w:rPr>
        <w:t>4. 条件、判定与输出</w:t>
      </w:r>
    </w:p>
    <w:p>
      <w:pPr>
        <w:pStyle w:val="ListBullet"/>
        <w:spacing w:after="60" w:line="283" w:lineRule="auto"/>
      </w:pPr>
      <w:r>
        <w:rPr>
          <w:b w:val="0"/>
        </w:rPr>
        <w:t>测试使用匹配的 FPGA 产物及 LTX，并记录版本与测试模式；</w:t>
      </w:r>
      <w:r>
        <w:rPr>
          <w:rFonts w:ascii="Consolas" w:hAnsi="Consolas" w:eastAsia="等线"/>
          <w:b w:val="0"/>
        </w:rPr>
        <w:t>VERSION=0x00002001</w:t>
      </w:r>
      <w:r>
        <w:rPr>
          <w:b w:val="0"/>
        </w:rPr>
        <w:t xml:space="preserve"> 不能单独证明当前使用的是哪一份 bit。</w:t>
      </w:r>
    </w:p>
    <w:p>
      <w:pPr>
        <w:pStyle w:val="ListBullet"/>
        <w:spacing w:after="60" w:line="283" w:lineRule="auto"/>
      </w:pPr>
      <w:r>
        <w:rPr>
          <w:b w:val="0"/>
        </w:rPr>
        <w:t>每项记录测试条件、输入、寄存器状态、DMA 请求／完成长度、比较结果和失败信息；中断、GPIO、ILA 或仿真证据按实际执行情况分别记录。</w:t>
      </w:r>
    </w:p>
    <w:p>
      <w:pPr>
        <w:pStyle w:val="ListBullet"/>
        <w:spacing w:after="60" w:line="283" w:lineRule="auto"/>
      </w:pPr>
      <w:r>
        <w:rPr>
          <w:b w:val="0"/>
        </w:rPr>
        <w:t>未具备驱动、VIO、接线或故障激励条件的项目标记为待验证，不能记为通过。真实 10G/1G 收发、子机接收及执行结果不属于本单机验证结论。</w:t>
      </w:r>
    </w:p>
    <w:p>
      <w:pPr>
        <w:pStyle w:val="ListBullet"/>
        <w:spacing w:after="60" w:line="283" w:lineRule="auto"/>
      </w:pPr>
      <w:r>
        <w:rPr>
          <w:b w:val="0"/>
        </w:rPr>
        <w:t xml:space="preserve">寄存器手册与较新设计对 </w:t>
      </w:r>
      <w:r>
        <w:rPr>
          <w:rFonts w:ascii="Consolas" w:hAnsi="Consolas" w:eastAsia="等线"/>
          <w:b w:val="0"/>
        </w:rPr>
        <w:t>0x28</w:t>
      </w:r>
      <w:r>
        <w:rPr>
          <w:b w:val="0"/>
        </w:rPr>
        <w:t xml:space="preserve"> 复位值存在差异；测试前以所用 FPGA 版本、RTL 和现场读值核对，不把示例配置值当成固定复位值。</w:t>
      </w:r>
    </w:p>
    <w:p>
      <w:pPr>
        <w:pStyle w:val="Heading1"/>
      </w:pPr>
      <w:r>
        <w:rPr>
          <w:b w:val="0"/>
        </w:rPr>
        <w:t>5. 参考资料</w:t>
      </w:r>
    </w:p>
    <w:p>
      <w:pPr>
        <w:pStyle w:val="ListBullet"/>
        <w:spacing w:after="60" w:line="283" w:lineRule="auto"/>
      </w:pPr>
      <w:hyperlink r:id="rId9">
        <w:r>
          <w:rPr>
            <w:rFonts w:eastAsia="等线"/>
          </w:rPr>
          <w:t>主机 FPGA 当前设计</w:t>
        </w:r>
      </w:hyperlink>
    </w:p>
    <w:p>
      <w:pPr>
        <w:pStyle w:val="ListBullet"/>
        <w:spacing w:after="60" w:line="283" w:lineRule="auto"/>
      </w:pPr>
      <w:hyperlink r:id="rId10">
        <w:r>
          <w:rPr>
            <w:rFonts w:eastAsia="等线"/>
          </w:rPr>
          <w:t>CPU-FPGA PCIe 寄存器表单 软件指导手册 V2.0</w:t>
        </w:r>
      </w:hyperlink>
    </w:p>
    <w:p>
      <w:pPr>
        <w:pStyle w:val="ListBullet"/>
        <w:spacing w:after="60" w:line="283" w:lineRule="auto"/>
      </w:pPr>
      <w:hyperlink r:id="rId11">
        <w:r>
          <w:rPr>
            <w:rFonts w:eastAsia="等线"/>
          </w:rPr>
          <w:t>板内联动记录与 VIO 测试方法</w:t>
        </w:r>
      </w:hyperlink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等线" w:hAnsi="等线" w:eastAsia="等线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RTDS_current_design_20261020/&#35774;&#35745;&#27491;&#25991;.md" TargetMode="External"/><Relationship Id="rId10" Type="http://schemas.openxmlformats.org/officeDocument/2006/relationships/hyperlink" Target="../pcie_debug_manual_20261015/source_snapshot/docs/CPU-FPGA_PCIe&#23492;&#23384;&#22120;&#34920;&#21333;_&#36719;&#20214;&#25351;&#23548;&#25163;&#20876;_V2.0.docx" TargetMode="External"/><Relationship Id="rId11" Type="http://schemas.openxmlformats.org/officeDocument/2006/relationships/hyperlink" Target="../hardware_joint_lab_20261016/docs/RTDS_&#26495;&#20869;&#32852;&#21160;&#23454;&#27979;&#35760;&#24405;_20261019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主机模块应用验证方案 单机</dc:title>
  <dc:subject>管理板 CPU 与主机 FPGA 单机应用验证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